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FD" w:rsidRDefault="00AA7A71" w:rsidP="00AA7A7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2864FD">
        <w:rPr>
          <w:szCs w:val="24"/>
        </w:rPr>
        <w:t xml:space="preserve">                                                                                                      </w:t>
      </w:r>
      <w:r w:rsidR="00823C46">
        <w:rPr>
          <w:szCs w:val="24"/>
        </w:rPr>
        <w:t xml:space="preserve">   </w:t>
      </w:r>
      <w:r w:rsidR="002864FD">
        <w:rPr>
          <w:szCs w:val="24"/>
        </w:rPr>
        <w:t xml:space="preserve">  </w:t>
      </w:r>
    </w:p>
    <w:p w:rsidR="00AA7A71" w:rsidRPr="00AA7A71" w:rsidRDefault="002864FD" w:rsidP="00AA7A71">
      <w:pPr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 w:rsidR="00AA7A71" w:rsidRPr="00AA7A71">
        <w:rPr>
          <w:szCs w:val="24"/>
        </w:rPr>
        <w:t>A Magyar Nemzeti Tanács  a Tanács Kult</w:t>
      </w:r>
      <w:r w:rsidR="000D4878">
        <w:rPr>
          <w:szCs w:val="24"/>
        </w:rPr>
        <w:t>u</w:t>
      </w:r>
      <w:r w:rsidR="00AA7A71" w:rsidRPr="00AA7A71">
        <w:rPr>
          <w:szCs w:val="24"/>
        </w:rPr>
        <w:t>rális Bizottságának javaslata alapján, valamint a Nemzeti kisebbségek nemzeti tanácsairól szóló törvény (a Szerb Köztársaság Hivatalos Közlönye 72/2009 szám) 17. szakasza 1. bekezdése,</w:t>
      </w:r>
      <w:r w:rsidR="00AA7A71">
        <w:rPr>
          <w:szCs w:val="24"/>
        </w:rPr>
        <w:t xml:space="preserve"> </w:t>
      </w:r>
      <w:r w:rsidR="00AA7A71" w:rsidRPr="00AA7A71">
        <w:rPr>
          <w:szCs w:val="24"/>
        </w:rPr>
        <w:t xml:space="preserve">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3C7DBD">
        <w:rPr>
          <w:szCs w:val="24"/>
        </w:rPr>
        <w:t>s</w:t>
      </w:r>
      <w:r w:rsidR="00AA7A71" w:rsidRPr="00AA7A71">
        <w:rPr>
          <w:szCs w:val="24"/>
        </w:rPr>
        <w:t xml:space="preserve">zakasza 1. bekezdése alapján  a Tanács IV. ülésén, </w:t>
      </w:r>
      <w:r w:rsidR="001F3888">
        <w:rPr>
          <w:szCs w:val="24"/>
        </w:rPr>
        <w:t xml:space="preserve">2010.október 18.-án  </w:t>
      </w:r>
      <w:r w:rsidR="00AA7A71" w:rsidRPr="00AA7A71">
        <w:rPr>
          <w:szCs w:val="24"/>
        </w:rPr>
        <w:t xml:space="preserve"> meghozza</w:t>
      </w:r>
      <w:proofErr w:type="gramEnd"/>
      <w:r w:rsidR="00AA7A71" w:rsidRPr="00AA7A71">
        <w:rPr>
          <w:szCs w:val="24"/>
        </w:rPr>
        <w:t xml:space="preserve">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A </w:t>
      </w:r>
      <w:r w:rsidR="007D4C80">
        <w:rPr>
          <w:b/>
          <w:i/>
          <w:szCs w:val="24"/>
        </w:rPr>
        <w:t>TOP</w:t>
      </w:r>
      <w:r w:rsidR="00104DFA">
        <w:rPr>
          <w:b/>
          <w:i/>
          <w:szCs w:val="24"/>
        </w:rPr>
        <w:t>O</w:t>
      </w:r>
      <w:r w:rsidR="007D4C80">
        <w:rPr>
          <w:b/>
          <w:i/>
          <w:szCs w:val="24"/>
        </w:rPr>
        <w:t>LYAI NÉPKÖNYVTÁR</w:t>
      </w:r>
      <w:r w:rsidRPr="00AA7A71">
        <w:rPr>
          <w:b/>
          <w:i/>
          <w:szCs w:val="24"/>
        </w:rPr>
        <w:t xml:space="preserve"> A 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1./ </w:t>
      </w:r>
      <w:r w:rsidRPr="00AA7A71">
        <w:rPr>
          <w:szCs w:val="24"/>
        </w:rPr>
        <w:t xml:space="preserve">Az </w:t>
      </w:r>
      <w:proofErr w:type="gramStart"/>
      <w:r w:rsidRPr="00AA7A71">
        <w:rPr>
          <w:szCs w:val="24"/>
        </w:rPr>
        <w:t>MNT  Alapszabályának</w:t>
      </w:r>
      <w:proofErr w:type="gramEnd"/>
      <w:r w:rsidRPr="00AA7A71">
        <w:rPr>
          <w:szCs w:val="24"/>
        </w:rPr>
        <w:t xml:space="preserve"> 2. szakasza értelmében, mely szerint az MNT a szerbiai-vajdasági magyarság kult</w:t>
      </w:r>
      <w:r w:rsidR="00D828DE">
        <w:rPr>
          <w:szCs w:val="24"/>
        </w:rPr>
        <w:t>u</w:t>
      </w:r>
      <w:r w:rsidRPr="00AA7A71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DB031E">
        <w:rPr>
          <w:szCs w:val="24"/>
        </w:rPr>
        <w:t xml:space="preserve">i </w:t>
      </w:r>
      <w:r w:rsidRPr="00AA7A71">
        <w:rPr>
          <w:szCs w:val="24"/>
        </w:rPr>
        <w:t xml:space="preserve">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 Az MNT minden egyes településre vonatkozóan döntést fogad el, az ajánlások alapján.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  <w:r w:rsidRPr="00AA7A71">
        <w:rPr>
          <w:szCs w:val="24"/>
        </w:rPr>
        <w:t xml:space="preserve">         </w:t>
      </w:r>
      <w:r w:rsidRPr="00AA7A71">
        <w:rPr>
          <w:b/>
          <w:i/>
          <w:szCs w:val="24"/>
        </w:rPr>
        <w:t>2./</w:t>
      </w:r>
      <w:r w:rsidRPr="00AA7A71">
        <w:rPr>
          <w:szCs w:val="24"/>
        </w:rPr>
        <w:t xml:space="preserve"> A Tanács megállapítja, hogy a</w:t>
      </w:r>
    </w:p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422B11">
            <w:pPr>
              <w:rPr>
                <w:szCs w:val="24"/>
              </w:rPr>
            </w:pPr>
            <w:r>
              <w:rPr>
                <w:szCs w:val="24"/>
              </w:rPr>
              <w:t>Népk</w:t>
            </w:r>
            <w:r w:rsidR="00AA7A71" w:rsidRPr="00AA7A71">
              <w:rPr>
                <w:szCs w:val="24"/>
              </w:rPr>
              <w:t>önyvtár</w:t>
            </w:r>
            <w:r>
              <w:rPr>
                <w:szCs w:val="24"/>
              </w:rPr>
              <w:t xml:space="preserve"> Topolya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 w:rsidP="00422B11">
            <w:pPr>
              <w:rPr>
                <w:szCs w:val="24"/>
              </w:rPr>
            </w:pPr>
            <w:r w:rsidRPr="00AA7A71">
              <w:rPr>
                <w:szCs w:val="24"/>
              </w:rPr>
              <w:t>24</w:t>
            </w:r>
            <w:r w:rsidR="00422B11">
              <w:rPr>
                <w:szCs w:val="24"/>
              </w:rPr>
              <w:t>300 Topolya</w:t>
            </w:r>
            <w:r w:rsidR="00B37A51">
              <w:rPr>
                <w:szCs w:val="24"/>
              </w:rPr>
              <w:t xml:space="preserve">, Fő utca 16. </w:t>
            </w:r>
            <w:r w:rsidR="00422B11">
              <w:rPr>
                <w:szCs w:val="24"/>
              </w:rPr>
              <w:t xml:space="preserve"> </w:t>
            </w:r>
            <w:r w:rsidRPr="00AA7A71">
              <w:rPr>
                <w:szCs w:val="24"/>
              </w:rPr>
              <w:t xml:space="preserve">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F8093D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  <w:r w:rsidR="00AA7A71" w:rsidRPr="00AA7A71">
              <w:rPr>
                <w:szCs w:val="24"/>
              </w:rPr>
              <w:t xml:space="preserve">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 w:rsidP="00F8093D">
            <w:pPr>
              <w:rPr>
                <w:szCs w:val="24"/>
              </w:rPr>
            </w:pPr>
            <w:r w:rsidRPr="00AA7A71">
              <w:rPr>
                <w:szCs w:val="24"/>
              </w:rPr>
              <w:t>9</w:t>
            </w:r>
            <w:r w:rsidR="00F8093D">
              <w:rPr>
                <w:szCs w:val="24"/>
              </w:rPr>
              <w:t>101</w:t>
            </w:r>
            <w:r w:rsidRPr="00AA7A71">
              <w:rPr>
                <w:szCs w:val="24"/>
              </w:rPr>
              <w:t xml:space="preserve"> – könyvtári tevékenység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közintézmény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F8093D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  <w:r w:rsidR="00AA7A71" w:rsidRPr="00AA7A71">
              <w:rPr>
                <w:szCs w:val="24"/>
              </w:rPr>
              <w:t xml:space="preserve"> község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Gazdasági Bíróság Szabadka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F8093D" w:rsidP="00F8093D">
            <w:pPr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F8093D">
            <w:pPr>
              <w:rPr>
                <w:szCs w:val="24"/>
              </w:rPr>
            </w:pPr>
            <w:r>
              <w:rPr>
                <w:szCs w:val="24"/>
              </w:rPr>
              <w:t>08214271</w:t>
            </w:r>
          </w:p>
        </w:tc>
      </w:tr>
    </w:tbl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a szerbiai magyar közösség részére </w:t>
      </w:r>
      <w:r w:rsidRPr="00AA7A71">
        <w:rPr>
          <w:b/>
          <w:i/>
          <w:szCs w:val="24"/>
        </w:rPr>
        <w:t>kiemelt jelentőséggel bír</w:t>
      </w:r>
      <w:r w:rsidRPr="00AA7A71">
        <w:rPr>
          <w:szCs w:val="24"/>
        </w:rPr>
        <w:t>, a magyar nemzeti közösség kult</w:t>
      </w:r>
      <w:r w:rsidR="006C49C1">
        <w:rPr>
          <w:szCs w:val="24"/>
        </w:rPr>
        <w:t>u</w:t>
      </w:r>
      <w:r w:rsidRPr="00AA7A71">
        <w:rPr>
          <w:szCs w:val="24"/>
        </w:rPr>
        <w:t xml:space="preserve">rális sajátosságai, nemzeti identitása megőrzésének, előmozdításának és fejlesztésének szempontjából valamint a magyar kultúra törvényes feltételeinek biztosítása céljából </w:t>
      </w:r>
      <w:r w:rsidR="00B37A51">
        <w:rPr>
          <w:szCs w:val="24"/>
        </w:rPr>
        <w:t>Topolya</w:t>
      </w:r>
      <w:r w:rsidRPr="00AA7A71">
        <w:rPr>
          <w:szCs w:val="24"/>
        </w:rPr>
        <w:t xml:space="preserve"> község területén</w:t>
      </w:r>
      <w:r w:rsidR="00753A10">
        <w:rPr>
          <w:szCs w:val="24"/>
        </w:rPr>
        <w:t>,</w:t>
      </w:r>
      <w:r w:rsidRPr="00AA7A71">
        <w:rPr>
          <w:szCs w:val="24"/>
        </w:rPr>
        <w:t xml:space="preserve"> </w:t>
      </w:r>
      <w:r w:rsidR="00B37A51">
        <w:rPr>
          <w:szCs w:val="24"/>
        </w:rPr>
        <w:t>Topolya</w:t>
      </w:r>
      <w:r w:rsidRPr="00AA7A71">
        <w:rPr>
          <w:szCs w:val="24"/>
        </w:rPr>
        <w:t xml:space="preserve"> településen.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3./</w:t>
      </w:r>
      <w:r w:rsidRPr="00AA7A71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</w:t>
      </w: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6A0AF7" w:rsidRPr="00B8428E" w:rsidRDefault="00AA7A71" w:rsidP="006A0AF7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>Jelen döntés indoklása:</w:t>
      </w:r>
      <w:r w:rsidR="006A0AF7">
        <w:t xml:space="preserve"> </w:t>
      </w:r>
      <w:r w:rsidR="006A0AF7" w:rsidRPr="00B8428E">
        <w:rPr>
          <w:szCs w:val="24"/>
        </w:rPr>
        <w:t>A topolyai Népkönyvtár 1945-ben alakult. Ma a topolyai község területén működő 6 fiókkönyvtárával (</w:t>
      </w:r>
      <w:proofErr w:type="spellStart"/>
      <w:r w:rsidR="006A0AF7" w:rsidRPr="00B8428E">
        <w:rPr>
          <w:szCs w:val="24"/>
        </w:rPr>
        <w:t>Bajsa</w:t>
      </w:r>
      <w:proofErr w:type="spellEnd"/>
      <w:r w:rsidR="006A0AF7" w:rsidRPr="00B8428E">
        <w:rPr>
          <w:szCs w:val="24"/>
        </w:rPr>
        <w:t xml:space="preserve">, Pannónia, </w:t>
      </w:r>
      <w:proofErr w:type="spellStart"/>
      <w:r w:rsidR="006A0AF7" w:rsidRPr="00B8428E">
        <w:rPr>
          <w:szCs w:val="24"/>
        </w:rPr>
        <w:t>Bácskossuthfalva</w:t>
      </w:r>
      <w:proofErr w:type="spellEnd"/>
      <w:r w:rsidR="006A0AF7" w:rsidRPr="00B8428E">
        <w:rPr>
          <w:szCs w:val="24"/>
        </w:rPr>
        <w:t xml:space="preserve">, </w:t>
      </w:r>
      <w:proofErr w:type="spellStart"/>
      <w:r w:rsidR="006A0AF7" w:rsidRPr="00B8428E">
        <w:rPr>
          <w:szCs w:val="24"/>
        </w:rPr>
        <w:t>Pacsér</w:t>
      </w:r>
      <w:proofErr w:type="spellEnd"/>
      <w:r w:rsidR="006A0AF7" w:rsidRPr="00B8428E">
        <w:rPr>
          <w:szCs w:val="24"/>
        </w:rPr>
        <w:t xml:space="preserve">, </w:t>
      </w:r>
      <w:proofErr w:type="spellStart"/>
      <w:r w:rsidR="006A0AF7" w:rsidRPr="00B8428E">
        <w:rPr>
          <w:szCs w:val="24"/>
        </w:rPr>
        <w:t>Zentagunaras</w:t>
      </w:r>
      <w:proofErr w:type="spellEnd"/>
      <w:r w:rsidR="006A0AF7" w:rsidRPr="00B8428E">
        <w:rPr>
          <w:szCs w:val="24"/>
        </w:rPr>
        <w:t xml:space="preserve">, </w:t>
      </w:r>
      <w:proofErr w:type="spellStart"/>
      <w:r w:rsidR="006A0AF7" w:rsidRPr="00B8428E">
        <w:rPr>
          <w:szCs w:val="24"/>
        </w:rPr>
        <w:t>Gunaras</w:t>
      </w:r>
      <w:proofErr w:type="spellEnd"/>
      <w:r w:rsidR="006A0AF7" w:rsidRPr="00B8428E">
        <w:rPr>
          <w:szCs w:val="24"/>
        </w:rPr>
        <w:t xml:space="preserve">) és kb. 132.000 kötetes állományával egy közel 40 ezres közösséget lát el könyvekkel és egyéb információkkal. Tevékenysége a község magyarsága számára a magyar nyelvű kultúra megtartása és ápolása szempontjából alapvető fontosságú, hiszen az intézmény a könyvtári szolgáltatások nyújtásán túl, több területet felölelő tevékenységével a magyar közösség közművelődési és művelődési életének kiteljesedését is felvállalta. Alapvető célkitűzései között szerepel a magyar kultúra értékeinek megőrzése, de kiemelt fontosságot tulajdonít az értékteremtésnek is. Szerteágazó tevékenysége a közösség minden korosztályát felöleli. </w:t>
      </w:r>
    </w:p>
    <w:p w:rsidR="006A0AF7" w:rsidRPr="00B8428E" w:rsidRDefault="006A0AF7" w:rsidP="006A0AF7">
      <w:pPr>
        <w:jc w:val="both"/>
        <w:rPr>
          <w:szCs w:val="24"/>
        </w:rPr>
      </w:pPr>
      <w:r w:rsidRPr="00B8428E">
        <w:rPr>
          <w:szCs w:val="24"/>
        </w:rPr>
        <w:t>A topolyai Népkönyvtár állományában a szerbiai magyar közösség kulturális és szellemi hagyat</w:t>
      </w:r>
      <w:r w:rsidR="00C02ABA">
        <w:rPr>
          <w:szCs w:val="24"/>
        </w:rPr>
        <w:t>é</w:t>
      </w:r>
      <w:r w:rsidRPr="00B8428E">
        <w:rPr>
          <w:szCs w:val="24"/>
        </w:rPr>
        <w:t>kának számos reprezentatív darabja található, amit több hagyaték, köztük Juhász Erzsébet hagyatéka, valamint gazdag helytörténeti gyűjtemény egészít ki.  Ennek megőrzése, kutatása, folyamatos számbavétele és a jövő nemzedékek számára történő átmentése – digitalizálása – okán a topolyai Népkönyvtár a közösség kulturális és nemzeti identitása őrzésének és előmozdításának szempontjából kiemelt jelentőségű.</w:t>
      </w:r>
    </w:p>
    <w:p w:rsidR="00AA7A71" w:rsidRPr="00B8428E" w:rsidRDefault="006A0AF7" w:rsidP="006A0AF7">
      <w:pPr>
        <w:jc w:val="both"/>
        <w:rPr>
          <w:szCs w:val="24"/>
        </w:rPr>
      </w:pPr>
      <w:r w:rsidRPr="00B8428E">
        <w:rPr>
          <w:szCs w:val="24"/>
        </w:rPr>
        <w:t xml:space="preserve">A Népkönyvtár épülete Topolya központjában van, az egykori </w:t>
      </w:r>
      <w:proofErr w:type="spellStart"/>
      <w:r w:rsidRPr="00B8428E">
        <w:rPr>
          <w:szCs w:val="24"/>
        </w:rPr>
        <w:t>rabbinátus</w:t>
      </w:r>
      <w:proofErr w:type="spellEnd"/>
      <w:r w:rsidRPr="00B8428E">
        <w:rPr>
          <w:szCs w:val="24"/>
        </w:rPr>
        <w:t xml:space="preserve"> műemlékvédelem alatt álló épületében. Alapítója és működtetője a topolyai képviselő-testület.</w:t>
      </w:r>
    </w:p>
    <w:p w:rsidR="00AA7A71" w:rsidRDefault="00AA7A71" w:rsidP="00AA7A71">
      <w:pPr>
        <w:jc w:val="both"/>
        <w:rPr>
          <w:b/>
          <w:i/>
        </w:rPr>
      </w:pPr>
    </w:p>
    <w:p w:rsidR="00AA7A71" w:rsidRDefault="00AA7A71" w:rsidP="00AA7A71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AA7A71" w:rsidRDefault="00AA7A71" w:rsidP="00AA7A71">
      <w:pPr>
        <w:spacing w:line="100" w:lineRule="atLeast"/>
        <w:jc w:val="both"/>
        <w:rPr>
          <w:color w:val="000000"/>
          <w:lang w:val="sr-Latn-CS"/>
        </w:rPr>
      </w:pP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AA7A71" w:rsidRDefault="00AA7A71" w:rsidP="00AA7A71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F922C1">
        <w:rPr>
          <w:b/>
          <w:i/>
          <w:color w:val="000000"/>
          <w:lang w:val="sr-Latn-CS"/>
        </w:rPr>
        <w:t>32/2010</w:t>
      </w:r>
      <w:r>
        <w:rPr>
          <w:b/>
          <w:i/>
          <w:color w:val="000000"/>
          <w:lang w:val="sr-Latn-CS"/>
        </w:rPr>
        <w:t>__</w:t>
      </w:r>
    </w:p>
    <w:p w:rsidR="00AA7A71" w:rsidRDefault="00AA7A71" w:rsidP="00AA7A71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F922C1">
        <w:rPr>
          <w:b/>
          <w:i/>
          <w:color w:val="000000"/>
          <w:lang w:val="sr-Latn-CS"/>
        </w:rPr>
        <w:t xml:space="preserve">2010. október 18.-án </w:t>
      </w:r>
      <w:r>
        <w:rPr>
          <w:b/>
          <w:i/>
          <w:color w:val="000000"/>
          <w:lang w:val="sr-Latn-CS"/>
        </w:rPr>
        <w:t>__</w:t>
      </w:r>
    </w:p>
    <w:p w:rsidR="00AA7A71" w:rsidRDefault="00AA7A71" w:rsidP="00AA7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AA7A71" w:rsidRDefault="00AA7A71" w:rsidP="00AA7A71">
      <w:pPr>
        <w:pStyle w:val="Szvegtrzs"/>
      </w:pPr>
    </w:p>
    <w:p w:rsidR="00AA7A71" w:rsidRDefault="00AA7A71" w:rsidP="00AA7A71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AA7A71" w:rsidRPr="001063AC" w:rsidRDefault="00AA7A71" w:rsidP="00AA7A71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AA7A71" w:rsidRDefault="00AA7A71" w:rsidP="00AA7A71">
      <w:pPr>
        <w:rPr>
          <w:b/>
          <w:i/>
          <w:szCs w:val="24"/>
        </w:rPr>
      </w:pPr>
    </w:p>
    <w:p w:rsidR="00AA7A71" w:rsidRDefault="00AA7A71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p w:rsidR="0060614B" w:rsidRDefault="0060614B" w:rsidP="00AA7A71">
      <w:pPr>
        <w:tabs>
          <w:tab w:val="left" w:pos="7920"/>
        </w:tabs>
        <w:rPr>
          <w:szCs w:val="24"/>
        </w:rPr>
      </w:pPr>
    </w:p>
    <w:sectPr w:rsidR="0060614B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2204A"/>
    <w:rsid w:val="000D4878"/>
    <w:rsid w:val="00104DFA"/>
    <w:rsid w:val="00147CD3"/>
    <w:rsid w:val="001D415C"/>
    <w:rsid w:val="001F3888"/>
    <w:rsid w:val="001F5C73"/>
    <w:rsid w:val="002864FD"/>
    <w:rsid w:val="0032163A"/>
    <w:rsid w:val="00327ECA"/>
    <w:rsid w:val="003C7DBD"/>
    <w:rsid w:val="00422B11"/>
    <w:rsid w:val="004E3E47"/>
    <w:rsid w:val="005E19A8"/>
    <w:rsid w:val="0060614B"/>
    <w:rsid w:val="006A0AF7"/>
    <w:rsid w:val="006A1C2F"/>
    <w:rsid w:val="006B3BE0"/>
    <w:rsid w:val="006C49C1"/>
    <w:rsid w:val="00721975"/>
    <w:rsid w:val="00753A10"/>
    <w:rsid w:val="007C3138"/>
    <w:rsid w:val="007D4C80"/>
    <w:rsid w:val="00823C46"/>
    <w:rsid w:val="00913ED9"/>
    <w:rsid w:val="009467B1"/>
    <w:rsid w:val="00983AB8"/>
    <w:rsid w:val="00AA7A71"/>
    <w:rsid w:val="00AB4A40"/>
    <w:rsid w:val="00AB7ED0"/>
    <w:rsid w:val="00B11AC4"/>
    <w:rsid w:val="00B35483"/>
    <w:rsid w:val="00B37A51"/>
    <w:rsid w:val="00B8428E"/>
    <w:rsid w:val="00C02ABA"/>
    <w:rsid w:val="00CA4A7A"/>
    <w:rsid w:val="00D828DE"/>
    <w:rsid w:val="00DB031E"/>
    <w:rsid w:val="00ED16F7"/>
    <w:rsid w:val="00F8093D"/>
    <w:rsid w:val="00F922C1"/>
    <w:rsid w:val="00F934B8"/>
    <w:rsid w:val="00FB2CA6"/>
    <w:rsid w:val="00FF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7A71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AA7A71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651</Words>
  <Characters>3713</Characters>
  <Application>Microsoft Office Word</Application>
  <DocSecurity>0</DocSecurity>
  <Lines>30</Lines>
  <Paragraphs>8</Paragraphs>
  <ScaleCrop>false</ScaleCrop>
  <Company>student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2010-09-30T09:44:00Z</dcterms:created>
  <dcterms:modified xsi:type="dcterms:W3CDTF">2010-10-25T12:27:00Z</dcterms:modified>
</cp:coreProperties>
</file>