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ED630D" w:rsidRDefault="00ED630D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50A96" w:rsidRPr="00150A96" w:rsidRDefault="00150A96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150A96" w:rsidRDefault="00150A96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D630D" w:rsidRDefault="00ED630D" w:rsidP="001239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69D5" w:rsidRPr="0077038A" w:rsidRDefault="00123962" w:rsidP="00FD69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038A">
        <w:rPr>
          <w:rFonts w:ascii="Times New Roman" w:hAnsi="Times New Roman"/>
          <w:color w:val="000000" w:themeColor="text1"/>
          <w:sz w:val="24"/>
          <w:szCs w:val="24"/>
        </w:rPr>
        <w:t xml:space="preserve">        A</w:t>
      </w:r>
      <w:r w:rsidR="00830067" w:rsidRPr="0077038A">
        <w:rPr>
          <w:rFonts w:ascii="Times New Roman" w:hAnsi="Times New Roman"/>
          <w:color w:val="000000" w:themeColor="text1"/>
          <w:sz w:val="24"/>
          <w:szCs w:val="24"/>
        </w:rPr>
        <w:t xml:space="preserve"> Magyar Nemzeti Tanács Várady kiválósági ösztöndíj-hitel pályázati felhívásáról, a pályázat lebonyolításáról és a kérelmek elbírálásáról szóló határozat</w:t>
      </w:r>
      <w:r w:rsidR="00FD69D5" w:rsidRPr="0077038A">
        <w:rPr>
          <w:rFonts w:ascii="Times New Roman" w:hAnsi="Times New Roman"/>
          <w:color w:val="000000" w:themeColor="text1"/>
          <w:sz w:val="24"/>
          <w:szCs w:val="24"/>
        </w:rPr>
        <w:t xml:space="preserve">ának egységes szerkezetbe foglalt szövege (elfogadva 2013. július 1-én H/8/2013 iratszám és 2013. szeptember 11-én H/12/2013 iratszám alatt). </w:t>
      </w:r>
    </w:p>
    <w:p w:rsidR="00123962" w:rsidRDefault="00123962" w:rsidP="001239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23962" w:rsidRDefault="00123962" w:rsidP="001239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630D" w:rsidRDefault="00ED630D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hAnsi="Times New Roman"/>
          <w:b/>
          <w:i/>
          <w:color w:val="000000"/>
          <w:sz w:val="24"/>
          <w:szCs w:val="24"/>
        </w:rPr>
        <w:t>A MAGYAR NEMZETI TANÁCS</w:t>
      </w:r>
    </w:p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VÁRADY </w:t>
      </w:r>
      <w:r w:rsidR="00876AAC">
        <w:rPr>
          <w:rFonts w:ascii="Times New Roman" w:hAnsi="Times New Roman"/>
          <w:b/>
          <w:i/>
          <w:color w:val="000000"/>
          <w:sz w:val="24"/>
          <w:szCs w:val="24"/>
        </w:rPr>
        <w:t xml:space="preserve">KIVÁLÓSÁGI </w:t>
      </w:r>
      <w:r w:rsidRPr="00C5373C">
        <w:rPr>
          <w:rFonts w:ascii="Times New Roman" w:hAnsi="Times New Roman"/>
          <w:b/>
          <w:i/>
          <w:color w:val="000000"/>
          <w:sz w:val="24"/>
          <w:szCs w:val="24"/>
        </w:rPr>
        <w:t xml:space="preserve"> ÖSZTÖNDÍJ</w:t>
      </w:r>
      <w:r w:rsidR="00876AAC">
        <w:rPr>
          <w:rFonts w:ascii="Times New Roman" w:hAnsi="Times New Roman"/>
          <w:b/>
          <w:i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HITEL  </w:t>
      </w:r>
      <w:r w:rsidRPr="00C5373C">
        <w:rPr>
          <w:rFonts w:ascii="Times New Roman" w:hAnsi="Times New Roman"/>
          <w:b/>
          <w:i/>
          <w:color w:val="000000"/>
          <w:sz w:val="24"/>
          <w:szCs w:val="24"/>
        </w:rPr>
        <w:t>PÁLYÁZATI FELHÍVÁSÁRÓL, A PÁLYÁZAT LEBONYOLÍTÁSÁRÓL É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S A KÉRELMEK ELBÍRÁLÁSÁRÓL </w:t>
      </w:r>
      <w:r w:rsidR="00ED630D">
        <w:rPr>
          <w:rFonts w:ascii="Times New Roman" w:hAnsi="Times New Roman"/>
          <w:b/>
          <w:i/>
          <w:color w:val="000000"/>
          <w:sz w:val="24"/>
          <w:szCs w:val="24"/>
        </w:rPr>
        <w:t>SZÓLÓ HATÁROZAT</w:t>
      </w:r>
      <w:r w:rsidR="00FD69D5">
        <w:rPr>
          <w:rFonts w:ascii="Times New Roman" w:hAnsi="Times New Roman"/>
          <w:b/>
          <w:i/>
          <w:color w:val="000000"/>
          <w:sz w:val="24"/>
          <w:szCs w:val="24"/>
        </w:rPr>
        <w:t>A</w:t>
      </w:r>
      <w:r w:rsidR="00ED630D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hAnsi="Times New Roman"/>
          <w:b/>
          <w:i/>
          <w:color w:val="000000"/>
          <w:sz w:val="24"/>
          <w:szCs w:val="24"/>
        </w:rPr>
        <w:t>ÁLTALÁNOS RENDELKEZÉSEK</w:t>
      </w:r>
    </w:p>
    <w:p w:rsidR="00794B7A" w:rsidRPr="00C5373C" w:rsidRDefault="00794B7A" w:rsidP="00794B7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szakasz </w:t>
      </w:r>
    </w:p>
    <w:p w:rsidR="00794B7A" w:rsidRPr="00C5373C" w:rsidRDefault="00794B7A" w:rsidP="00794B7A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952DD6" w:rsidRDefault="00794B7A" w:rsidP="00794B7A">
      <w:pPr>
        <w:pStyle w:val="Default"/>
        <w:ind w:firstLine="360"/>
        <w:jc w:val="both"/>
        <w:rPr>
          <w:bCs/>
          <w:iCs/>
          <w:lang w:val="hu-HU"/>
        </w:rPr>
      </w:pPr>
      <w:r w:rsidRPr="00952DD6">
        <w:rPr>
          <w:bCs/>
          <w:iCs/>
          <w:lang w:val="hu-HU"/>
        </w:rPr>
        <w:t>A Tanács ezen határozata a hazai felsőoktatási intézményekben tanuló és oklevelet szerző magyar hallgatók számának növelését tervező Oktatásfejlesztési  stratégiával (2010—2016) összhangban</w:t>
      </w:r>
      <w:r>
        <w:rPr>
          <w:bCs/>
          <w:iCs/>
          <w:lang w:val="hu-HU"/>
        </w:rPr>
        <w:t xml:space="preserve"> szabályozza</w:t>
      </w:r>
      <w:r w:rsidRPr="00952DD6">
        <w:rPr>
          <w:bCs/>
          <w:iCs/>
          <w:lang w:val="hu-HU"/>
        </w:rPr>
        <w:t xml:space="preserve"> a </w:t>
      </w:r>
      <w:r w:rsidR="00E72D34">
        <w:rPr>
          <w:bCs/>
          <w:iCs/>
          <w:lang w:val="hu-HU"/>
        </w:rPr>
        <w:t>Várady kiválósági ösztöndíj-hitel</w:t>
      </w:r>
      <w:r>
        <w:rPr>
          <w:bCs/>
          <w:iCs/>
          <w:lang w:val="hu-HU"/>
        </w:rPr>
        <w:t xml:space="preserve"> elnyerésének feltételeit, pályázati </w:t>
      </w:r>
      <w:r w:rsidRPr="00952DD6">
        <w:rPr>
          <w:bCs/>
          <w:iCs/>
          <w:lang w:val="hu-HU"/>
        </w:rPr>
        <w:t xml:space="preserve">a felhívás és a lebonyolítás módját, a pályázat benyújtási határidejét, a kérelmek </w:t>
      </w:r>
      <w:r>
        <w:rPr>
          <w:bCs/>
          <w:iCs/>
          <w:lang w:val="hu-HU"/>
        </w:rPr>
        <w:t xml:space="preserve">elbírálásának </w:t>
      </w:r>
      <w:r w:rsidRPr="00952DD6">
        <w:rPr>
          <w:bCs/>
          <w:iCs/>
          <w:lang w:val="hu-HU"/>
        </w:rPr>
        <w:t xml:space="preserve"> mércéit, az értékelési eljárás lefolytatásának szabályait, a rangsor közzétételének és az ösztöndíj folyósításának módját, valamint egyéb vonatkozó </w:t>
      </w:r>
      <w:r>
        <w:rPr>
          <w:bCs/>
          <w:iCs/>
          <w:lang w:val="hu-HU"/>
        </w:rPr>
        <w:t>kérdéseket</w:t>
      </w:r>
      <w:r w:rsidRPr="00952DD6">
        <w:rPr>
          <w:bCs/>
          <w:iCs/>
          <w:lang w:val="hu-HU"/>
        </w:rPr>
        <w:t>.</w:t>
      </w:r>
    </w:p>
    <w:p w:rsidR="00794B7A" w:rsidRPr="00952DD6" w:rsidRDefault="00794B7A" w:rsidP="00794B7A">
      <w:pPr>
        <w:pStyle w:val="Default"/>
        <w:ind w:left="360"/>
        <w:rPr>
          <w:b/>
          <w:bCs/>
          <w:i/>
          <w:iCs/>
          <w:lang w:val="hu-HU"/>
        </w:rPr>
      </w:pPr>
    </w:p>
    <w:p w:rsidR="00794B7A" w:rsidRPr="00C5373C" w:rsidRDefault="00794B7A" w:rsidP="00794B7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szakasz</w:t>
      </w:r>
    </w:p>
    <w:p w:rsidR="00794B7A" w:rsidRPr="00C5373C" w:rsidRDefault="00794B7A" w:rsidP="00794B7A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EC5385" w:rsidRPr="006B14E0" w:rsidRDefault="00E72D34" w:rsidP="008D1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4E0">
        <w:rPr>
          <w:rFonts w:ascii="Times New Roman" w:hAnsi="Times New Roman"/>
          <w:sz w:val="24"/>
          <w:szCs w:val="24"/>
        </w:rPr>
        <w:t xml:space="preserve">A </w:t>
      </w:r>
      <w:r w:rsidR="00EC5385" w:rsidRPr="006B14E0">
        <w:rPr>
          <w:rFonts w:ascii="Times New Roman" w:hAnsi="Times New Roman"/>
          <w:sz w:val="24"/>
          <w:szCs w:val="24"/>
        </w:rPr>
        <w:t xml:space="preserve">Várady </w:t>
      </w:r>
      <w:r w:rsidRPr="006B14E0">
        <w:rPr>
          <w:rFonts w:ascii="Times New Roman" w:hAnsi="Times New Roman"/>
          <w:sz w:val="24"/>
          <w:szCs w:val="24"/>
        </w:rPr>
        <w:t>kivá</w:t>
      </w:r>
      <w:r w:rsidR="00EC5385" w:rsidRPr="006B14E0">
        <w:rPr>
          <w:rFonts w:ascii="Times New Roman" w:hAnsi="Times New Roman"/>
          <w:sz w:val="24"/>
          <w:szCs w:val="24"/>
        </w:rPr>
        <w:t>lósági ösztöndí</w:t>
      </w:r>
      <w:r w:rsidR="0013064B">
        <w:rPr>
          <w:rFonts w:ascii="Times New Roman" w:hAnsi="Times New Roman"/>
          <w:sz w:val="24"/>
          <w:szCs w:val="24"/>
        </w:rPr>
        <w:t>j</w:t>
      </w:r>
      <w:r w:rsidR="00EC5385" w:rsidRPr="006B14E0">
        <w:rPr>
          <w:rFonts w:ascii="Times New Roman" w:hAnsi="Times New Roman"/>
          <w:sz w:val="24"/>
          <w:szCs w:val="24"/>
        </w:rPr>
        <w:t>-hitel azáltal jöhete</w:t>
      </w:r>
      <w:r w:rsidRPr="006B14E0">
        <w:rPr>
          <w:rFonts w:ascii="Times New Roman" w:hAnsi="Times New Roman"/>
          <w:sz w:val="24"/>
          <w:szCs w:val="24"/>
        </w:rPr>
        <w:t>tt létre, hogy Dr. Várady Tibor</w:t>
      </w:r>
      <w:r w:rsidR="00EC5385" w:rsidRPr="006B14E0">
        <w:rPr>
          <w:rFonts w:ascii="Times New Roman" w:hAnsi="Times New Roman"/>
          <w:sz w:val="24"/>
          <w:szCs w:val="24"/>
        </w:rPr>
        <w:t>, az MNT tagja magánjövedelm</w:t>
      </w:r>
      <w:r w:rsidR="00154AE1" w:rsidRPr="006B14E0">
        <w:rPr>
          <w:rFonts w:ascii="Times New Roman" w:hAnsi="Times New Roman"/>
          <w:sz w:val="24"/>
          <w:szCs w:val="24"/>
        </w:rPr>
        <w:t>é</w:t>
      </w:r>
      <w:r w:rsidR="00EC5385" w:rsidRPr="006B14E0">
        <w:rPr>
          <w:rFonts w:ascii="Times New Roman" w:hAnsi="Times New Roman"/>
          <w:sz w:val="24"/>
          <w:szCs w:val="24"/>
        </w:rPr>
        <w:t xml:space="preserve">ből 100.000 USA </w:t>
      </w:r>
      <w:r w:rsidR="00892B32" w:rsidRPr="006B14E0">
        <w:rPr>
          <w:rFonts w:ascii="Times New Roman" w:hAnsi="Times New Roman"/>
          <w:sz w:val="24"/>
          <w:szCs w:val="24"/>
        </w:rPr>
        <w:t>d</w:t>
      </w:r>
      <w:r w:rsidR="00EC5385" w:rsidRPr="006B14E0">
        <w:rPr>
          <w:rFonts w:ascii="Times New Roman" w:hAnsi="Times New Roman"/>
          <w:sz w:val="24"/>
          <w:szCs w:val="24"/>
        </w:rPr>
        <w:t xml:space="preserve">ollárt ajánlott fel a legtehetségesebb, tudományos-oktatói pályára készülő fiatalok támogatására az MNT stratégiai céljaival összhangban. </w:t>
      </w:r>
    </w:p>
    <w:p w:rsidR="00A13B15" w:rsidRDefault="00EC5385" w:rsidP="00794B7A">
      <w:pPr>
        <w:pStyle w:val="Default"/>
        <w:ind w:firstLine="360"/>
        <w:jc w:val="both"/>
        <w:rPr>
          <w:lang w:val="hu-HU"/>
        </w:rPr>
      </w:pPr>
      <w:r>
        <w:rPr>
          <w:lang w:val="hu-HU"/>
        </w:rPr>
        <w:t xml:space="preserve">Dr. Várady Tibor adományát, az MNT külön a Várady </w:t>
      </w:r>
      <w:r w:rsidR="00E72D34">
        <w:rPr>
          <w:lang w:val="hu-HU"/>
        </w:rPr>
        <w:t>kivá</w:t>
      </w:r>
      <w:r>
        <w:rPr>
          <w:lang w:val="hu-HU"/>
        </w:rPr>
        <w:t>lósági ösztöndí</w:t>
      </w:r>
      <w:r w:rsidR="00351E92">
        <w:rPr>
          <w:lang w:val="hu-HU"/>
        </w:rPr>
        <w:t>j</w:t>
      </w:r>
      <w:r>
        <w:rPr>
          <w:lang w:val="hu-HU"/>
        </w:rPr>
        <w:t xml:space="preserve">-hitel számára létrehozott számlán kezeli és folyamatosan gondoskodik annak értékmegőrzéséről, más célra nem használhatja fel. </w:t>
      </w:r>
    </w:p>
    <w:p w:rsidR="00A13B15" w:rsidRDefault="00A13B15" w:rsidP="00794B7A">
      <w:pPr>
        <w:pStyle w:val="Default"/>
        <w:ind w:firstLine="360"/>
        <w:jc w:val="both"/>
        <w:rPr>
          <w:lang w:val="hu-HU"/>
        </w:rPr>
      </w:pPr>
      <w:r>
        <w:rPr>
          <w:lang w:val="hu-HU"/>
        </w:rPr>
        <w:t>Dr. Várady Tiborral egyeztetve az MNT Elnöke és Közigazgatási Hivatala évente meghatározza, hogy az adományozott összegből az adott tanévre a Várady kiválósági ösztöndí</w:t>
      </w:r>
      <w:r w:rsidR="00351E92">
        <w:rPr>
          <w:lang w:val="hu-HU"/>
        </w:rPr>
        <w:t>j</w:t>
      </w:r>
      <w:r>
        <w:rPr>
          <w:lang w:val="hu-HU"/>
        </w:rPr>
        <w:t>-hitelre mekkora összeg lesz felhasználva. Ehhez az összeghez az MNT a költségvetésében, saját, szabadon felhasználható forrásaiból ugyanekkora összeget biztosít, és közbenjár annak érdekében, hogy az így létrejövő pénzalapot, más magán és jogi személyek adományaival is évente kiegészítse.</w:t>
      </w:r>
    </w:p>
    <w:p w:rsidR="00A13B15" w:rsidRDefault="00A13B15" w:rsidP="00794B7A">
      <w:pPr>
        <w:pStyle w:val="Default"/>
        <w:ind w:firstLine="360"/>
        <w:jc w:val="both"/>
        <w:rPr>
          <w:lang w:val="hu-HU"/>
        </w:rPr>
      </w:pPr>
      <w:r>
        <w:rPr>
          <w:lang w:val="hu-HU"/>
        </w:rPr>
        <w:t xml:space="preserve">A Várady </w:t>
      </w:r>
      <w:r w:rsidR="00E72D34">
        <w:rPr>
          <w:lang w:val="hu-HU"/>
        </w:rPr>
        <w:t>kivá</w:t>
      </w:r>
      <w:r>
        <w:rPr>
          <w:lang w:val="hu-HU"/>
        </w:rPr>
        <w:t>lósági ösztöndí</w:t>
      </w:r>
      <w:r w:rsidR="00351E92">
        <w:rPr>
          <w:lang w:val="hu-HU"/>
        </w:rPr>
        <w:t>j</w:t>
      </w:r>
      <w:r>
        <w:rPr>
          <w:lang w:val="hu-HU"/>
        </w:rPr>
        <w:t xml:space="preserve">-hitelre szánt pénzösszeg külön költségvetési tételként-alapként szerepel az MNT éves költségvetésében, és a Zárszámadásban az MNT évente köteles részletesen feltüntetni - beszámolni a Várady </w:t>
      </w:r>
      <w:r w:rsidR="00E72D34">
        <w:rPr>
          <w:lang w:val="hu-HU"/>
        </w:rPr>
        <w:t>kivá</w:t>
      </w:r>
      <w:r>
        <w:rPr>
          <w:lang w:val="hu-HU"/>
        </w:rPr>
        <w:t>lósági ösztöndí</w:t>
      </w:r>
      <w:r w:rsidR="00351E92">
        <w:rPr>
          <w:lang w:val="hu-HU"/>
        </w:rPr>
        <w:t>j</w:t>
      </w:r>
      <w:r>
        <w:rPr>
          <w:lang w:val="hu-HU"/>
        </w:rPr>
        <w:t xml:space="preserve">-hitelre szánt pénzösszeg felhasználását. </w:t>
      </w:r>
    </w:p>
    <w:p w:rsidR="00ED0744" w:rsidRDefault="00ED0744" w:rsidP="00794B7A">
      <w:pPr>
        <w:pStyle w:val="Default"/>
        <w:ind w:firstLine="360"/>
        <w:jc w:val="both"/>
        <w:rPr>
          <w:lang w:val="hu-HU"/>
        </w:rPr>
      </w:pPr>
    </w:p>
    <w:p w:rsidR="00EC5385" w:rsidRDefault="00EC5385" w:rsidP="00794B7A">
      <w:pPr>
        <w:pStyle w:val="Default"/>
        <w:ind w:firstLine="360"/>
        <w:jc w:val="both"/>
        <w:rPr>
          <w:lang w:val="hu-HU"/>
        </w:rPr>
      </w:pPr>
    </w:p>
    <w:p w:rsidR="00ED0744" w:rsidRDefault="00ED0744" w:rsidP="00794B7A">
      <w:pPr>
        <w:pStyle w:val="Default"/>
        <w:ind w:firstLine="360"/>
        <w:jc w:val="both"/>
        <w:rPr>
          <w:lang w:val="hu-HU"/>
        </w:rPr>
      </w:pPr>
    </w:p>
    <w:p w:rsidR="00ED0744" w:rsidRDefault="00ED0744" w:rsidP="00794B7A">
      <w:pPr>
        <w:pStyle w:val="Default"/>
        <w:ind w:firstLine="360"/>
        <w:jc w:val="both"/>
        <w:rPr>
          <w:lang w:val="hu-HU"/>
        </w:rPr>
      </w:pPr>
    </w:p>
    <w:p w:rsidR="00A13B15" w:rsidRPr="00C5373C" w:rsidRDefault="00A13B15" w:rsidP="00A13B1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szakasz</w:t>
      </w:r>
    </w:p>
    <w:p w:rsidR="00A13B15" w:rsidRDefault="00A13B15" w:rsidP="00794B7A">
      <w:pPr>
        <w:pStyle w:val="Default"/>
        <w:ind w:firstLine="360"/>
        <w:jc w:val="both"/>
        <w:rPr>
          <w:lang w:val="hu-HU"/>
        </w:rPr>
      </w:pPr>
    </w:p>
    <w:p w:rsidR="00794B7A" w:rsidRDefault="00794B7A" w:rsidP="00794B7A">
      <w:pPr>
        <w:pStyle w:val="Default"/>
        <w:ind w:firstLine="360"/>
        <w:jc w:val="both"/>
        <w:rPr>
          <w:lang w:val="hu-HU"/>
        </w:rPr>
      </w:pPr>
      <w:r>
        <w:rPr>
          <w:lang w:val="hu-HU"/>
        </w:rPr>
        <w:t xml:space="preserve">Tanács ezen határozata alapján </w:t>
      </w:r>
      <w:r w:rsidR="00E72D34">
        <w:rPr>
          <w:lang w:val="hu-HU"/>
        </w:rPr>
        <w:t xml:space="preserve">a </w:t>
      </w:r>
      <w:r w:rsidR="007A319A">
        <w:rPr>
          <w:lang w:val="hu-HU"/>
        </w:rPr>
        <w:t xml:space="preserve">Várady </w:t>
      </w:r>
      <w:r w:rsidR="00E72D34">
        <w:rPr>
          <w:lang w:val="hu-HU"/>
        </w:rPr>
        <w:t xml:space="preserve">kiválósági </w:t>
      </w:r>
      <w:r w:rsidR="007A319A">
        <w:rPr>
          <w:lang w:val="hu-HU"/>
        </w:rPr>
        <w:t>ösztöndíj</w:t>
      </w:r>
      <w:r w:rsidR="0013064B">
        <w:rPr>
          <w:lang w:val="hu-HU"/>
        </w:rPr>
        <w:t>-</w:t>
      </w:r>
      <w:r w:rsidR="007A319A">
        <w:rPr>
          <w:lang w:val="hu-HU"/>
        </w:rPr>
        <w:t>hitelre (a továbbiakban „</w:t>
      </w:r>
      <w:r>
        <w:rPr>
          <w:lang w:val="hu-HU"/>
        </w:rPr>
        <w:t>ösztöndíj</w:t>
      </w:r>
      <w:r w:rsidR="007A319A">
        <w:rPr>
          <w:lang w:val="hu-HU"/>
        </w:rPr>
        <w:t>”)</w:t>
      </w:r>
      <w:r>
        <w:rPr>
          <w:lang w:val="hu-HU"/>
        </w:rPr>
        <w:t xml:space="preserve"> az a hallgató jogosult, aki első ízben nyert felvételt a Szerb Köztársaság területén megvalósuló </w:t>
      </w:r>
      <w:r w:rsidRPr="000A78B7">
        <w:rPr>
          <w:lang w:val="hu-HU"/>
        </w:rPr>
        <w:t xml:space="preserve">akkreditált </w:t>
      </w:r>
      <w:r>
        <w:rPr>
          <w:lang w:val="hu-HU"/>
        </w:rPr>
        <w:t>akadémiai mester képzés</w:t>
      </w:r>
      <w:r w:rsidR="002A5428">
        <w:rPr>
          <w:lang w:val="hu-HU"/>
        </w:rPr>
        <w:t xml:space="preserve"> (MSc)</w:t>
      </w:r>
      <w:r>
        <w:rPr>
          <w:lang w:val="hu-HU"/>
        </w:rPr>
        <w:t xml:space="preserve"> első évfolyamára, illetve Szerb Köztársaság területén megvalósuló </w:t>
      </w:r>
      <w:r w:rsidRPr="000A78B7">
        <w:rPr>
          <w:lang w:val="hu-HU"/>
        </w:rPr>
        <w:t>akkreditált</w:t>
      </w:r>
      <w:r>
        <w:rPr>
          <w:lang w:val="hu-HU"/>
        </w:rPr>
        <w:t xml:space="preserve"> PhD képzés első illetve  második évfolyamára és magyar nyelven végezte általános vagy középiskolai tanulmányait, ezen határozat rendelkezéseivel összhangban. </w:t>
      </w:r>
    </w:p>
    <w:p w:rsidR="00794B7A" w:rsidRPr="00952DD6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 xml:space="preserve">Azon pályázatok, amelyek nem felelnek meg az 1./ bekezdésben meghatározott pályázati feltételeknek, érvénytelenek és nem esnek elbírálás alá. </w:t>
      </w:r>
    </w:p>
    <w:p w:rsidR="00794B7A" w:rsidRPr="00952DD6" w:rsidRDefault="00794B7A" w:rsidP="00794B7A">
      <w:pPr>
        <w:pStyle w:val="Default"/>
        <w:tabs>
          <w:tab w:val="left" w:pos="360"/>
        </w:tabs>
        <w:jc w:val="both"/>
        <w:rPr>
          <w:lang w:val="hu-HU"/>
        </w:rPr>
      </w:pPr>
      <w:r>
        <w:rPr>
          <w:lang w:val="hu-HU"/>
        </w:rPr>
        <w:tab/>
      </w:r>
      <w:r w:rsidRPr="00952DD6">
        <w:rPr>
          <w:lang w:val="hu-HU"/>
        </w:rPr>
        <w:t>Az ösztöndíjra jogosult hallgatóval a Tanács Közigaz</w:t>
      </w:r>
      <w:r>
        <w:rPr>
          <w:lang w:val="hu-HU"/>
        </w:rPr>
        <w:t xml:space="preserve">gatási Hivatala szerződést köt, </w:t>
      </w:r>
      <w:r w:rsidRPr="00952DD6">
        <w:rPr>
          <w:lang w:val="hu-HU"/>
        </w:rPr>
        <w:t xml:space="preserve">amelyet a Közigazgatási Hivatal elnöke ír alá. </w:t>
      </w:r>
    </w:p>
    <w:p w:rsidR="00794B7A" w:rsidRPr="00952DD6" w:rsidRDefault="00794B7A" w:rsidP="00794B7A">
      <w:pPr>
        <w:pStyle w:val="Default"/>
        <w:ind w:left="720"/>
        <w:jc w:val="both"/>
        <w:rPr>
          <w:lang w:val="hu-HU"/>
        </w:rPr>
      </w:pPr>
    </w:p>
    <w:p w:rsidR="00794B7A" w:rsidRPr="00C5373C" w:rsidRDefault="00794B7A" w:rsidP="00794B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hAnsi="Times New Roman"/>
          <w:b/>
          <w:i/>
          <w:color w:val="000000"/>
          <w:sz w:val="24"/>
          <w:szCs w:val="24"/>
        </w:rPr>
        <w:t>PÁLYÁZATI FELHÍVÁS</w:t>
      </w:r>
    </w:p>
    <w:p w:rsidR="00794B7A" w:rsidRPr="00C5373C" w:rsidRDefault="00794B7A" w:rsidP="00794B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szakasz </w:t>
      </w:r>
    </w:p>
    <w:p w:rsidR="00794B7A" w:rsidRPr="00C5373C" w:rsidRDefault="00794B7A" w:rsidP="00794B7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BD423F" w:rsidRPr="00BD423F" w:rsidRDefault="00BD423F" w:rsidP="00794B7A">
      <w:pPr>
        <w:pStyle w:val="Default"/>
        <w:ind w:firstLine="360"/>
        <w:jc w:val="both"/>
        <w:rPr>
          <w:lang w:val="hu-HU"/>
        </w:rPr>
      </w:pPr>
      <w:r w:rsidRPr="00BD423F">
        <w:rPr>
          <w:rFonts w:eastAsia="Times New Roman"/>
          <w:lang w:val="hu-HU"/>
        </w:rPr>
        <w:t>Az ezen határozat alapján kiosztásra kerülő ösztöndíjak pályázati kiírására a folyó év augusztus 15-től augusztus 31-i</w:t>
      </w:r>
      <w:r>
        <w:rPr>
          <w:rFonts w:eastAsia="Times New Roman"/>
          <w:lang w:val="hu-HU"/>
        </w:rPr>
        <w:t>g terjedő időszakban kerül sor.</w:t>
      </w:r>
    </w:p>
    <w:p w:rsidR="00794B7A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 xml:space="preserve">Az 1./ bekezdésben említett pályázati felhívást a Tanács elnöke teszi közzé, elnöki határozat alapján. </w:t>
      </w:r>
    </w:p>
    <w:p w:rsidR="00BD423F" w:rsidRDefault="00BD423F" w:rsidP="00BD423F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BD423F">
        <w:rPr>
          <w:rFonts w:ascii="Times New Roman" w:eastAsia="Times New Roman" w:hAnsi="Times New Roman"/>
          <w:color w:val="000000"/>
          <w:sz w:val="24"/>
          <w:szCs w:val="24"/>
        </w:rPr>
        <w:t>Az ösztöndíjakra vonatkozó pályázati felhívás a pályázat kiírásától kezdődően a folyó év november 15-ig áll nyitva.</w:t>
      </w:r>
    </w:p>
    <w:p w:rsidR="00794B7A" w:rsidRDefault="00BD423F" w:rsidP="00794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94B7A">
        <w:rPr>
          <w:rFonts w:ascii="Times New Roman" w:hAnsi="Times New Roman"/>
          <w:sz w:val="24"/>
          <w:szCs w:val="24"/>
        </w:rPr>
        <w:t>A folyó évben az előző pályázati kiírásból fennmaradó, nem odaítélt ösztöndíjakra vagy szükség szerint a költségvetés lehetőségeinek keretei között újabb ösztöndíjakra vonatkozóan, az ezen szakaszban meghatározott határidőktől eltérően a Tanács elnöke újabb pályázati felhívást tehet közzé az előző pályázati felhívás lezárást követően.</w:t>
      </w:r>
    </w:p>
    <w:p w:rsidR="00794B7A" w:rsidRDefault="00794B7A" w:rsidP="00794B7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D423F" w:rsidRPr="00C5373C" w:rsidRDefault="00BD423F" w:rsidP="00794B7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A13B15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5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952DD6" w:rsidRDefault="00794B7A" w:rsidP="00794B7A">
      <w:pPr>
        <w:pStyle w:val="Default"/>
        <w:ind w:firstLine="360"/>
        <w:jc w:val="both"/>
        <w:rPr>
          <w:bCs/>
          <w:iCs/>
          <w:sz w:val="23"/>
          <w:szCs w:val="23"/>
          <w:lang w:val="hu-HU"/>
        </w:rPr>
      </w:pPr>
      <w:r w:rsidRPr="00952DD6">
        <w:rPr>
          <w:sz w:val="23"/>
          <w:szCs w:val="23"/>
          <w:lang w:val="hu-HU"/>
        </w:rPr>
        <w:t xml:space="preserve">A pályázati kiírás tartalmazza a folyó évben kiosztásra kerülő ösztöndíjak számát </w:t>
      </w:r>
      <w:r w:rsidR="002A5428">
        <w:rPr>
          <w:sz w:val="23"/>
          <w:szCs w:val="23"/>
          <w:lang w:val="hu-HU"/>
        </w:rPr>
        <w:t>kategóriánként (MSc, PhD)</w:t>
      </w:r>
      <w:r w:rsidRPr="00952DD6">
        <w:rPr>
          <w:sz w:val="23"/>
          <w:szCs w:val="23"/>
          <w:lang w:val="hu-HU"/>
        </w:rPr>
        <w:t>, a pályázat feltételeit és határidejét, a pályázati mellékletek jegyzékét, a pályázati eredmények közzétételének módját, és az ösztöndíjjal kapcsolatos egyéb vonatkozásokat, ezen határozat rendelkezéseivel összhangban</w:t>
      </w:r>
      <w:r>
        <w:rPr>
          <w:sz w:val="23"/>
          <w:szCs w:val="23"/>
          <w:lang w:val="hu-HU"/>
        </w:rPr>
        <w:t>.</w:t>
      </w:r>
    </w:p>
    <w:p w:rsidR="00794B7A" w:rsidRPr="00952DD6" w:rsidRDefault="00794B7A" w:rsidP="00794B7A">
      <w:pPr>
        <w:pStyle w:val="Default"/>
        <w:jc w:val="both"/>
        <w:rPr>
          <w:bCs/>
          <w:iCs/>
          <w:sz w:val="23"/>
          <w:szCs w:val="23"/>
          <w:lang w:val="hu-HU"/>
        </w:rPr>
      </w:pPr>
    </w:p>
    <w:p w:rsidR="00794B7A" w:rsidRPr="00C5373C" w:rsidRDefault="00A13B15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6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5373C">
        <w:rPr>
          <w:rFonts w:ascii="Times New Roman" w:hAnsi="Times New Roman"/>
          <w:b/>
          <w:i/>
          <w:color w:val="000000"/>
          <w:sz w:val="23"/>
          <w:szCs w:val="23"/>
        </w:rPr>
        <w:tab/>
      </w:r>
      <w:r w:rsidRPr="00C5373C">
        <w:rPr>
          <w:rFonts w:ascii="Times New Roman" w:hAnsi="Times New Roman"/>
          <w:color w:val="000000"/>
          <w:sz w:val="24"/>
          <w:szCs w:val="24"/>
        </w:rPr>
        <w:t>A pályázati felhívás minden olyan tömegtájékoztatási eszközben közzétételre kerül, amely valószínűsíthetően hozzáférhető a pályázók számára.</w:t>
      </w: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</w:p>
    <w:p w:rsidR="00794B7A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Pr="00C5373C" w:rsidRDefault="00DC707B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III.  AZ ÖSZTÖNDÍJAK NAGYSÁGA ÉS SZÁMA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A13B15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7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A319A" w:rsidRDefault="007A319A" w:rsidP="00794B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Az ösztöndíjakat a jogosultságot megszerző hallgató egy tanévre nyeri el és azt a tanévben tíz hónapon keresztül folyósítják a számára. </w:t>
      </w:r>
    </w:p>
    <w:p w:rsidR="00794B7A" w:rsidRDefault="007A319A" w:rsidP="00794B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13064B">
        <w:rPr>
          <w:rFonts w:ascii="Times New Roman" w:hAnsi="Times New Roman"/>
          <w:color w:val="000000"/>
          <w:sz w:val="24"/>
          <w:szCs w:val="24"/>
        </w:rPr>
        <w:t>z</w:t>
      </w:r>
      <w:r w:rsidR="006E63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4B7A" w:rsidRPr="00C5373C">
        <w:rPr>
          <w:rFonts w:ascii="Times New Roman" w:hAnsi="Times New Roman"/>
          <w:color w:val="000000"/>
          <w:sz w:val="24"/>
          <w:szCs w:val="24"/>
        </w:rPr>
        <w:t xml:space="preserve">ösztöndíjak havi összege nettó </w:t>
      </w:r>
      <w:r w:rsidR="00D055D7">
        <w:rPr>
          <w:rFonts w:ascii="Times New Roman" w:hAnsi="Times New Roman"/>
          <w:color w:val="000000"/>
          <w:sz w:val="24"/>
          <w:szCs w:val="24"/>
        </w:rPr>
        <w:t xml:space="preserve">az akkreditált akadémiai mester képzés </w:t>
      </w:r>
      <w:r w:rsidR="002A5428">
        <w:rPr>
          <w:rFonts w:ascii="Times New Roman" w:hAnsi="Times New Roman"/>
          <w:color w:val="000000"/>
          <w:sz w:val="24"/>
          <w:szCs w:val="24"/>
        </w:rPr>
        <w:t xml:space="preserve">MSc </w:t>
      </w:r>
      <w:r w:rsidR="00D055D7">
        <w:rPr>
          <w:rFonts w:ascii="Times New Roman" w:hAnsi="Times New Roman"/>
          <w:color w:val="000000"/>
          <w:sz w:val="24"/>
          <w:szCs w:val="24"/>
        </w:rPr>
        <w:t>esetében 15</w:t>
      </w:r>
      <w:r w:rsidR="00794B7A" w:rsidRPr="00C5373C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D055D7">
        <w:rPr>
          <w:rFonts w:ascii="Times New Roman" w:hAnsi="Times New Roman"/>
          <w:color w:val="000000"/>
          <w:sz w:val="24"/>
          <w:szCs w:val="24"/>
        </w:rPr>
        <w:t>e</w:t>
      </w:r>
      <w:r w:rsidR="00794B7A" w:rsidRPr="00C5373C">
        <w:rPr>
          <w:rFonts w:ascii="Times New Roman" w:hAnsi="Times New Roman"/>
          <w:color w:val="000000"/>
          <w:sz w:val="24"/>
          <w:szCs w:val="24"/>
        </w:rPr>
        <w:t>uró dinár ellenértéke (a Szerb Nemzeti Bank által az odaítélés napján megha</w:t>
      </w:r>
      <w:r w:rsidR="00D055D7">
        <w:rPr>
          <w:rFonts w:ascii="Times New Roman" w:hAnsi="Times New Roman"/>
          <w:color w:val="000000"/>
          <w:sz w:val="24"/>
          <w:szCs w:val="24"/>
        </w:rPr>
        <w:t xml:space="preserve">tározott középárfolyam szerint), míg az akkreditált PhD képzés esetében 160 euró </w:t>
      </w:r>
      <w:r w:rsidR="00D055D7" w:rsidRPr="00C5373C">
        <w:rPr>
          <w:rFonts w:ascii="Times New Roman" w:hAnsi="Times New Roman"/>
          <w:color w:val="000000"/>
          <w:sz w:val="24"/>
          <w:szCs w:val="24"/>
        </w:rPr>
        <w:t>dinár ellenértéke (a Szerb Nemzeti Bank által az odaítélés napján megha</w:t>
      </w:r>
      <w:r w:rsidR="00D055D7">
        <w:rPr>
          <w:rFonts w:ascii="Times New Roman" w:hAnsi="Times New Roman"/>
          <w:color w:val="000000"/>
          <w:sz w:val="24"/>
          <w:szCs w:val="24"/>
        </w:rPr>
        <w:t>tározott középárfolyam szerint.</w:t>
      </w: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ösztöndíjra jogosult hallgató és a Közigazgatási Hivatal az ösztöndíjszerződésben szabályozzák az ösztöndíj dinárösszegének módosítását jelentősebb devizaárfolyam módosulás esetére.</w:t>
      </w:r>
    </w:p>
    <w:p w:rsidR="00794B7A" w:rsidRPr="00952DD6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>A folyó évben odaítélt ösztöndíjak számát</w:t>
      </w:r>
      <w:r w:rsidR="002A5428">
        <w:rPr>
          <w:lang w:val="hu-HU"/>
        </w:rPr>
        <w:t xml:space="preserve"> – kategóriánként (MSc, PhD) </w:t>
      </w:r>
      <w:r w:rsidRPr="00952DD6">
        <w:rPr>
          <w:lang w:val="hu-HU"/>
        </w:rPr>
        <w:t xml:space="preserve">a Tanács Közigazgatási Hivatalának elnöke határozza meg külön határozattal, figyelembe véve a </w:t>
      </w:r>
      <w:r w:rsidR="00D055D7">
        <w:rPr>
          <w:lang w:val="hu-HU"/>
        </w:rPr>
        <w:t xml:space="preserve">folyó évbena Tanács Költségvetésében </w:t>
      </w:r>
      <w:r w:rsidRPr="00952DD6">
        <w:rPr>
          <w:lang w:val="hu-HU"/>
        </w:rPr>
        <w:t xml:space="preserve">előirányzottpénzügyi keretet. </w:t>
      </w:r>
    </w:p>
    <w:p w:rsidR="00794B7A" w:rsidRPr="00C5373C" w:rsidRDefault="00794B7A" w:rsidP="00794B7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IV. AZ ÖSZTÖNDÍJAK FOLYÓSÍTÁSÁNAK SZABÁLYAI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055D7" w:rsidRDefault="00A13B15" w:rsidP="00D055D7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8. </w:t>
      </w:r>
      <w:r w:rsidR="00D055D7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szakasz</w:t>
      </w:r>
    </w:p>
    <w:p w:rsidR="00D055D7" w:rsidRDefault="00D055D7" w:rsidP="00D055D7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D055D7" w:rsidRDefault="00D055D7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952DD6" w:rsidRDefault="00794B7A" w:rsidP="00794B7A">
      <w:pPr>
        <w:pStyle w:val="Default"/>
        <w:ind w:firstLine="360"/>
        <w:jc w:val="both"/>
        <w:rPr>
          <w:bCs/>
          <w:iCs/>
          <w:sz w:val="23"/>
          <w:szCs w:val="23"/>
          <w:lang w:val="hu-HU"/>
        </w:rPr>
      </w:pPr>
      <w:r w:rsidRPr="00952DD6">
        <w:rPr>
          <w:sz w:val="23"/>
          <w:szCs w:val="23"/>
          <w:lang w:val="hu-HU"/>
        </w:rPr>
        <w:t xml:space="preserve">A Közigazgatási Hivatallal kötött szerződés meghatározza az ösztöndíjak nagyságát, havi folyósításának idejét, a folyósítási hónapok számát éves szinten, a jogosultsági feltételek megszűnését, az ösztöndíj </w:t>
      </w:r>
      <w:r w:rsidR="00AB1184">
        <w:rPr>
          <w:sz w:val="23"/>
          <w:szCs w:val="23"/>
          <w:lang w:val="hu-HU"/>
        </w:rPr>
        <w:t xml:space="preserve">részbeni és teljes </w:t>
      </w:r>
      <w:r w:rsidRPr="00952DD6">
        <w:rPr>
          <w:sz w:val="23"/>
          <w:szCs w:val="23"/>
          <w:lang w:val="hu-HU"/>
        </w:rPr>
        <w:t>visszafizetési kötelezettségének eseteit és a szerződő feleket érintő egyéb jogokat és kötelezettségeket, ezen határozat rendelkezéseinek értelmében.</w:t>
      </w:r>
    </w:p>
    <w:p w:rsidR="00794B7A" w:rsidRPr="00952DD6" w:rsidRDefault="00794B7A" w:rsidP="00794B7A">
      <w:pPr>
        <w:pStyle w:val="Default"/>
        <w:jc w:val="both"/>
        <w:rPr>
          <w:sz w:val="23"/>
          <w:szCs w:val="23"/>
          <w:lang w:val="hu-HU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V. AZ </w:t>
      </w: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ELBÍRÁLÁSI </w:t>
      </w:r>
      <w:r w:rsidR="00EC3BFE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MÉRCÉK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Default="006748C9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9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A0275" w:rsidRDefault="00794B7A" w:rsidP="002A5428">
      <w:pPr>
        <w:pStyle w:val="Default"/>
        <w:ind w:firstLine="360"/>
        <w:jc w:val="both"/>
        <w:rPr>
          <w:rFonts w:eastAsia="Times New Roman"/>
          <w:b/>
          <w:i/>
          <w:lang w:val="hu-HU"/>
        </w:rPr>
      </w:pPr>
      <w:r w:rsidRPr="00870FAE">
        <w:rPr>
          <w:sz w:val="23"/>
          <w:szCs w:val="23"/>
          <w:lang w:val="hu-HU"/>
        </w:rPr>
        <w:t>Az ezen határozat alapján határidőben beadott pályázatok</w:t>
      </w:r>
      <w:r w:rsidR="002A5428">
        <w:rPr>
          <w:sz w:val="23"/>
          <w:szCs w:val="23"/>
          <w:lang w:val="hu-HU"/>
        </w:rPr>
        <w:t>at a Tanács elnökének végzésével létrehozott Pályázati Bizottság bírálja el, a</w:t>
      </w:r>
      <w:r w:rsidR="00E72D34">
        <w:rPr>
          <w:sz w:val="23"/>
          <w:szCs w:val="23"/>
          <w:lang w:val="hu-HU"/>
        </w:rPr>
        <w:t>melynek tagjai Dr. Várady Tibor</w:t>
      </w:r>
      <w:r w:rsidR="002A5428">
        <w:rPr>
          <w:sz w:val="23"/>
          <w:szCs w:val="23"/>
          <w:lang w:val="hu-HU"/>
        </w:rPr>
        <w:t xml:space="preserve">, az MNT Közigazgatási Hivatalának javaslatára megválasztott tag és az egyéb adományozók javaslatára megválasztott tag. </w:t>
      </w:r>
    </w:p>
    <w:p w:rsidR="00794B7A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A5428" w:rsidRDefault="006748C9" w:rsidP="002A5428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10</w:t>
      </w:r>
      <w:r w:rsidR="002A5428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 szakasz</w:t>
      </w:r>
    </w:p>
    <w:p w:rsidR="002A5428" w:rsidRDefault="002A5428" w:rsidP="002A5428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2A5428" w:rsidRDefault="002A5428" w:rsidP="00A20F8C">
      <w:pPr>
        <w:tabs>
          <w:tab w:val="left" w:pos="20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Az ezen határozat alapján hatá</w:t>
      </w:r>
      <w:r w:rsidR="006748C9">
        <w:rPr>
          <w:rFonts w:ascii="Times New Roman" w:eastAsia="Times New Roman" w:hAnsi="Times New Roman"/>
          <w:color w:val="000000"/>
          <w:sz w:val="24"/>
          <w:szCs w:val="24"/>
        </w:rPr>
        <w:t>ridőben beadott pályázatokat a 9</w:t>
      </w:r>
      <w:r>
        <w:rPr>
          <w:rFonts w:ascii="Times New Roman" w:eastAsia="Times New Roman" w:hAnsi="Times New Roman"/>
          <w:color w:val="000000"/>
          <w:sz w:val="24"/>
          <w:szCs w:val="24"/>
        </w:rPr>
        <w:t>. szakaszban meghatározott Pályázati Bizottság bírálja el</w:t>
      </w:r>
      <w:r w:rsidR="00A20F8C">
        <w:rPr>
          <w:rFonts w:ascii="Times New Roman" w:eastAsia="Times New Roman" w:hAnsi="Times New Roman"/>
          <w:color w:val="000000"/>
          <w:sz w:val="24"/>
          <w:szCs w:val="24"/>
        </w:rPr>
        <w:t xml:space="preserve"> kategóriánként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következő mércék figyelembe vételével:</w:t>
      </w:r>
    </w:p>
    <w:p w:rsidR="002A5428" w:rsidRDefault="002A5428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C707B" w:rsidRDefault="00DC707B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0F8C" w:rsidRDefault="002A5428" w:rsidP="00A20F8C">
      <w:pPr>
        <w:tabs>
          <w:tab w:val="left" w:pos="20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pályáz</w:t>
      </w:r>
      <w:r w:rsidR="00A20F8C">
        <w:rPr>
          <w:rFonts w:ascii="Times New Roman" w:eastAsia="Times New Roman" w:hAnsi="Times New Roman"/>
          <w:color w:val="000000"/>
          <w:sz w:val="24"/>
          <w:szCs w:val="24"/>
        </w:rPr>
        <w:t>ati rangsor megállapításánál előnyt jelent:</w:t>
      </w:r>
    </w:p>
    <w:p w:rsidR="00A20F8C" w:rsidRDefault="00A20F8C" w:rsidP="00A20F8C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20F8C" w:rsidRDefault="00A20F8C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az előző tanulmányok során elért tanulmányi átlag, </w:t>
      </w:r>
    </w:p>
    <w:p w:rsidR="00A20F8C" w:rsidRDefault="00A20F8C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megjelentetett tud</w:t>
      </w:r>
      <w:r w:rsidR="00385B47">
        <w:rPr>
          <w:rFonts w:ascii="Times New Roman" w:eastAsia="Times New Roman" w:hAnsi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</w:rPr>
        <w:t>mányos publikációk száma és minősítése,</w:t>
      </w:r>
    </w:p>
    <w:p w:rsidR="00A20F8C" w:rsidRDefault="00A20F8C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tudomán</w:t>
      </w:r>
      <w:r w:rsidR="00385B47">
        <w:rPr>
          <w:rFonts w:ascii="Times New Roman" w:eastAsia="Times New Roman" w:hAnsi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/>
          <w:color w:val="000000"/>
          <w:sz w:val="24"/>
          <w:szCs w:val="24"/>
        </w:rPr>
        <w:t>os szakmai konferenciákon való részvétel,</w:t>
      </w:r>
    </w:p>
    <w:p w:rsidR="00E72D34" w:rsidRDefault="00E72D34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oktatói státus megléte felsőoktatási intézm</w:t>
      </w:r>
      <w:r w:rsidR="00385B47">
        <w:rPr>
          <w:rFonts w:ascii="Times New Roman" w:eastAsia="Times New Roman" w:hAnsi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/>
          <w:color w:val="000000"/>
          <w:sz w:val="24"/>
          <w:szCs w:val="24"/>
        </w:rPr>
        <w:t>nyben,</w:t>
      </w:r>
    </w:p>
    <w:p w:rsidR="00A20F8C" w:rsidRDefault="00A20F8C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amennyiben az illető az MNT ösztöndíjasa volt,</w:t>
      </w:r>
    </w:p>
    <w:p w:rsidR="002A5428" w:rsidRDefault="00A20F8C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amennyiben a hallgató olyan területeken tanul</w:t>
      </w:r>
      <w:r w:rsidR="00385B47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amelyen aránytalanul kevés a magyar nemzetiségű szakember</w:t>
      </w:r>
      <w:r w:rsidR="00586FA8">
        <w:rPr>
          <w:rFonts w:ascii="Times New Roman" w:eastAsia="Times New Roman" w:hAnsi="Times New Roman"/>
          <w:color w:val="000000"/>
          <w:sz w:val="24"/>
          <w:szCs w:val="24"/>
        </w:rPr>
        <w:t xml:space="preserve"> vagy amelyeken nagya túljelentkezés a be</w:t>
      </w:r>
      <w:r w:rsidR="00385B47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586FA8">
        <w:rPr>
          <w:rFonts w:ascii="Times New Roman" w:eastAsia="Times New Roman" w:hAnsi="Times New Roman"/>
          <w:color w:val="000000"/>
          <w:sz w:val="24"/>
          <w:szCs w:val="24"/>
        </w:rPr>
        <w:t>ratkozásnál,</w:t>
      </w:r>
    </w:p>
    <w:p w:rsidR="00A20F8C" w:rsidRDefault="00586FA8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világnyelvek magas szintű ismerete,</w:t>
      </w:r>
    </w:p>
    <w:p w:rsidR="00586FA8" w:rsidRDefault="00586FA8" w:rsidP="00A20F8C">
      <w:pPr>
        <w:pStyle w:val="ListParagraph"/>
        <w:numPr>
          <w:ilvl w:val="0"/>
          <w:numId w:val="6"/>
        </w:num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amennyiben a hallgató költségvetés terhére tanul,</w:t>
      </w:r>
    </w:p>
    <w:p w:rsidR="00586FA8" w:rsidRPr="00A20F8C" w:rsidRDefault="00586FA8" w:rsidP="00586FA8">
      <w:pPr>
        <w:pStyle w:val="ListParagraph"/>
        <w:tabs>
          <w:tab w:val="left" w:pos="204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A5428" w:rsidRDefault="00586FA8" w:rsidP="00586FA8">
      <w:pPr>
        <w:tabs>
          <w:tab w:val="left" w:pos="20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Pály</w:t>
      </w:r>
      <w:r w:rsidR="00C7592B">
        <w:rPr>
          <w:rFonts w:ascii="Times New Roman" w:eastAsia="Times New Roman" w:hAnsi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/>
          <w:color w:val="000000"/>
          <w:sz w:val="24"/>
          <w:szCs w:val="24"/>
        </w:rPr>
        <w:t>zati Bizottság a pályázatok elbírálása során ezen Határozat keretei között d</w:t>
      </w:r>
      <w:r w:rsidR="002A5428">
        <w:rPr>
          <w:rFonts w:ascii="Times New Roman" w:eastAsia="Times New Roman" w:hAnsi="Times New Roman"/>
          <w:color w:val="000000"/>
          <w:sz w:val="24"/>
          <w:szCs w:val="24"/>
        </w:rPr>
        <w:t>iszkréciós mérlegelési jog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gal rendelkezik, de döntéseit köteles megindokolni. </w:t>
      </w:r>
    </w:p>
    <w:p w:rsidR="002A5428" w:rsidRPr="00C5373C" w:rsidRDefault="002A5428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DC707B" w:rsidP="00DC707B">
      <w:pPr>
        <w:tabs>
          <w:tab w:val="left" w:pos="2040"/>
          <w:tab w:val="left" w:pos="2235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VI. AZ ÖSZTÖNDÍJAK ELBÍRÁLÁSÁHOZ SZÜKSÉGES IRATOK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6748C9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11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952DD6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 xml:space="preserve">A pályázati formanyomtatványokhoz (kérelem és nyilatkozat) a következő iratokat (és   iratmásolatokat) kell csatolnia a pályázónak </w:t>
      </w:r>
    </w:p>
    <w:p w:rsidR="00794B7A" w:rsidRDefault="00794B7A" w:rsidP="00794B7A">
      <w:pPr>
        <w:pStyle w:val="Default"/>
        <w:jc w:val="both"/>
        <w:rPr>
          <w:lang w:val="hu-HU"/>
        </w:rPr>
      </w:pPr>
      <w:r>
        <w:rPr>
          <w:lang w:val="hu-HU"/>
        </w:rPr>
        <w:t xml:space="preserve"> -</w:t>
      </w:r>
      <w:r w:rsidRPr="00952DD6">
        <w:rPr>
          <w:lang w:val="hu-HU"/>
        </w:rPr>
        <w:t xml:space="preserve"> a születési anyakönyvi kivonat fénymásolata</w:t>
      </w:r>
      <w:r>
        <w:rPr>
          <w:lang w:val="hu-HU"/>
        </w:rPr>
        <w:t xml:space="preserve">, </w:t>
      </w:r>
    </w:p>
    <w:p w:rsidR="00794B7A" w:rsidRDefault="00794B7A" w:rsidP="00794B7A">
      <w:pPr>
        <w:pStyle w:val="Default"/>
        <w:jc w:val="both"/>
        <w:rPr>
          <w:lang w:val="hu-HU"/>
        </w:rPr>
      </w:pPr>
      <w:r>
        <w:rPr>
          <w:lang w:val="hu-HU"/>
        </w:rPr>
        <w:t xml:space="preserve">- az általános iskola magyar nyelven történő befejezéséről szóló igazolás fénymásolata, amennyiben a hallgató a középiskolai tanulmányait nem magyar nyelven végezte, </w:t>
      </w:r>
    </w:p>
    <w:p w:rsidR="00794B7A" w:rsidRDefault="00794B7A" w:rsidP="00794B7A">
      <w:pPr>
        <w:pStyle w:val="Default"/>
        <w:jc w:val="both"/>
        <w:rPr>
          <w:rFonts w:eastAsia="Times New Roman"/>
          <w:lang w:val="hu-HU"/>
        </w:rPr>
      </w:pPr>
      <w:r>
        <w:rPr>
          <w:lang w:val="hu-HU"/>
        </w:rPr>
        <w:t xml:space="preserve">- </w:t>
      </w:r>
      <w:r w:rsidRPr="00E502DB">
        <w:rPr>
          <w:rFonts w:eastAsia="Times New Roman"/>
          <w:lang w:val="hu-HU"/>
        </w:rPr>
        <w:t>a</w:t>
      </w:r>
      <w:r w:rsidR="00586FA8">
        <w:rPr>
          <w:rFonts w:eastAsia="Times New Roman"/>
          <w:lang w:val="hu-HU"/>
        </w:rPr>
        <w:t xml:space="preserve">z előző egyetemi </w:t>
      </w:r>
      <w:r w:rsidRPr="00E502DB">
        <w:rPr>
          <w:rFonts w:eastAsia="Times New Roman"/>
          <w:lang w:val="hu-HU"/>
        </w:rPr>
        <w:t xml:space="preserve">tanulmányok során </w:t>
      </w:r>
      <w:r w:rsidR="00586FA8">
        <w:rPr>
          <w:rFonts w:eastAsia="Times New Roman"/>
          <w:lang w:val="hu-HU"/>
        </w:rPr>
        <w:t>megvalósított tanulmányi átlagról szóló igazolások</w:t>
      </w:r>
      <w:r>
        <w:rPr>
          <w:rFonts w:eastAsia="Times New Roman"/>
          <w:lang w:val="hu-HU"/>
        </w:rPr>
        <w:t xml:space="preserve">, </w:t>
      </w:r>
    </w:p>
    <w:p w:rsidR="00794B7A" w:rsidRPr="00952DD6" w:rsidRDefault="00794B7A" w:rsidP="00794B7A">
      <w:pPr>
        <w:pStyle w:val="Default"/>
        <w:spacing w:after="27"/>
        <w:jc w:val="both"/>
        <w:rPr>
          <w:lang w:val="hu-HU"/>
        </w:rPr>
      </w:pPr>
      <w:r w:rsidRPr="00952DD6">
        <w:rPr>
          <w:lang w:val="hu-HU"/>
        </w:rPr>
        <w:t>-a felsőoktatási intézménybe való felvételről szóló igazolás, illetve annak hite</w:t>
      </w:r>
      <w:r w:rsidR="00586FA8">
        <w:rPr>
          <w:lang w:val="hu-HU"/>
        </w:rPr>
        <w:t xml:space="preserve">lesített másolata, </w:t>
      </w:r>
    </w:p>
    <w:p w:rsidR="00794B7A" w:rsidRPr="00952DD6" w:rsidRDefault="00794B7A" w:rsidP="00794B7A">
      <w:pPr>
        <w:pStyle w:val="Default"/>
        <w:jc w:val="both"/>
        <w:rPr>
          <w:lang w:val="hu-HU"/>
        </w:rPr>
      </w:pPr>
      <w:r w:rsidRPr="00952DD6">
        <w:rPr>
          <w:lang w:val="hu-HU"/>
        </w:rPr>
        <w:t xml:space="preserve">- egyéb - a pályázat elbírálásához szükséges – dokumentumok és igazolások </w:t>
      </w:r>
    </w:p>
    <w:p w:rsidR="00794B7A" w:rsidRPr="00952DD6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 xml:space="preserve">A benyújtandó iratok jegyzéke ezen határozat </w:t>
      </w:r>
      <w:r w:rsidR="00DC707B">
        <w:rPr>
          <w:lang w:val="hu-HU"/>
        </w:rPr>
        <w:t>5</w:t>
      </w:r>
      <w:r w:rsidRPr="00952DD6">
        <w:rPr>
          <w:lang w:val="hu-HU"/>
        </w:rPr>
        <w:t xml:space="preserve">./ szakaszának értelmében részét képezi a pályázati kiírás szövegének. </w:t>
      </w:r>
    </w:p>
    <w:p w:rsidR="00794B7A" w:rsidRPr="00952DD6" w:rsidRDefault="00794B7A" w:rsidP="00794B7A">
      <w:pPr>
        <w:pStyle w:val="Default"/>
        <w:ind w:firstLine="360"/>
        <w:jc w:val="both"/>
        <w:rPr>
          <w:lang w:val="hu-HU"/>
        </w:rPr>
      </w:pPr>
      <w:r w:rsidRPr="00952DD6">
        <w:rPr>
          <w:lang w:val="hu-HU"/>
        </w:rPr>
        <w:t xml:space="preserve">Az 1. bekezdésben feltüntetett formanyomtatványok hozzáférhetőségéről a Tanács Közigazgatási Hivatala köteles gondoskodni. </w:t>
      </w:r>
    </w:p>
    <w:p w:rsidR="00794B7A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047F2" w:rsidRPr="00C5373C" w:rsidRDefault="00C047F2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VII. AZ ÖSZTÖNDÍJAK ELBÍRÁLÁSA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6748C9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12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szakasz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center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5373C">
        <w:rPr>
          <w:rFonts w:ascii="Times New Roman" w:hAnsi="Times New Roman"/>
          <w:color w:val="000000"/>
          <w:sz w:val="23"/>
          <w:szCs w:val="23"/>
        </w:rPr>
        <w:t xml:space="preserve">      A pályázatra benyújtott kérelmek elbírálásával kapcsolatos eljárást a</w:t>
      </w:r>
      <w:r w:rsidR="00586FA8">
        <w:rPr>
          <w:rFonts w:ascii="Times New Roman" w:hAnsi="Times New Roman"/>
          <w:color w:val="000000"/>
          <w:sz w:val="23"/>
          <w:szCs w:val="23"/>
        </w:rPr>
        <w:t xml:space="preserve">z elbíráláson kívül </w:t>
      </w:r>
      <w:r w:rsidR="0056157B">
        <w:rPr>
          <w:rFonts w:ascii="Times New Roman" w:hAnsi="Times New Roman"/>
          <w:color w:val="000000"/>
          <w:sz w:val="23"/>
          <w:szCs w:val="23"/>
        </w:rPr>
        <w:t>a</w:t>
      </w:r>
      <w:r w:rsidRPr="00C5373C">
        <w:rPr>
          <w:rFonts w:ascii="Times New Roman" w:hAnsi="Times New Roman"/>
          <w:color w:val="000000"/>
          <w:sz w:val="23"/>
          <w:szCs w:val="23"/>
        </w:rPr>
        <w:t xml:space="preserve"> Tanács Közigazgatási Hivatala folytatja le, illetve szerződésben bíz meg megfelelő szakmai szervezetet a munka elvégzésére. </w:t>
      </w: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5373C">
        <w:rPr>
          <w:rFonts w:ascii="Times New Roman" w:hAnsi="Times New Roman"/>
          <w:color w:val="000000"/>
          <w:sz w:val="23"/>
          <w:szCs w:val="23"/>
        </w:rPr>
        <w:t xml:space="preserve">     A pályázati eredmény</w:t>
      </w:r>
      <w:r w:rsidR="007168BE">
        <w:rPr>
          <w:rFonts w:ascii="Times New Roman" w:hAnsi="Times New Roman"/>
          <w:color w:val="000000"/>
          <w:sz w:val="23"/>
          <w:szCs w:val="23"/>
        </w:rPr>
        <w:t>e</w:t>
      </w:r>
      <w:r w:rsidRPr="00C5373C">
        <w:rPr>
          <w:rFonts w:ascii="Times New Roman" w:hAnsi="Times New Roman"/>
          <w:color w:val="000000"/>
          <w:sz w:val="23"/>
          <w:szCs w:val="23"/>
        </w:rPr>
        <w:t>k</w:t>
      </w:r>
      <w:r w:rsidR="00586FA8">
        <w:rPr>
          <w:rFonts w:ascii="Times New Roman" w:hAnsi="Times New Roman"/>
          <w:color w:val="000000"/>
          <w:sz w:val="23"/>
          <w:szCs w:val="23"/>
        </w:rPr>
        <w:t xml:space="preserve">et a Pályázati Bizottság döntése után </w:t>
      </w:r>
      <w:r w:rsidRPr="00C5373C">
        <w:rPr>
          <w:rFonts w:ascii="Times New Roman" w:hAnsi="Times New Roman"/>
          <w:color w:val="000000"/>
          <w:sz w:val="23"/>
          <w:szCs w:val="23"/>
        </w:rPr>
        <w:t>a Közigazgatási Hivatal</w:t>
      </w:r>
      <w:r w:rsidR="00586FA8">
        <w:rPr>
          <w:rFonts w:ascii="Times New Roman" w:hAnsi="Times New Roman"/>
          <w:color w:val="000000"/>
          <w:sz w:val="23"/>
          <w:szCs w:val="23"/>
        </w:rPr>
        <w:t xml:space="preserve"> teszi közzé.</w:t>
      </w: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5373C">
        <w:rPr>
          <w:rFonts w:ascii="Times New Roman" w:hAnsi="Times New Roman"/>
          <w:color w:val="000000"/>
          <w:sz w:val="23"/>
          <w:szCs w:val="23"/>
        </w:rPr>
        <w:t xml:space="preserve">     A 2. bekezdésben meghatározott döntésről a pályázók hivatalos értesítést kapnak. </w:t>
      </w:r>
    </w:p>
    <w:p w:rsidR="00794B7A" w:rsidRPr="00C5373C" w:rsidRDefault="00794B7A" w:rsidP="007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5373C">
        <w:rPr>
          <w:rFonts w:ascii="Times New Roman" w:hAnsi="Times New Roman"/>
          <w:color w:val="000000"/>
          <w:sz w:val="23"/>
          <w:szCs w:val="23"/>
        </w:rPr>
        <w:t xml:space="preserve">     A 2. bekezdésben meghatározott döntés ellen fellebbezésnek nincs helye. </w:t>
      </w:r>
    </w:p>
    <w:p w:rsidR="00794B7A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6555A" w:rsidRDefault="0036555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6555A" w:rsidRDefault="0036555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A319A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VIII.</w:t>
      </w:r>
      <w:r w:rsidR="007A319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AZ ÖSZTÖNDÍJAK  VISSZAFIZETÉSE </w:t>
      </w:r>
    </w:p>
    <w:p w:rsidR="007A319A" w:rsidRDefault="007A319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A319A" w:rsidRDefault="007A319A" w:rsidP="007A319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</w:t>
      </w:r>
      <w:r w:rsidR="0036555A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 szakasz</w:t>
      </w:r>
    </w:p>
    <w:p w:rsidR="007A319A" w:rsidRDefault="007A319A" w:rsidP="007A319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AB1184" w:rsidRDefault="00E72D34" w:rsidP="00AB1184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felvett ösztöndíj</w:t>
      </w:r>
      <w:r w:rsidR="00AB118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eur</w:t>
      </w:r>
      <w:r w:rsidR="00A659ED">
        <w:rPr>
          <w:rFonts w:ascii="Times New Roman" w:eastAsia="Times New Roman" w:hAnsi="Times New Roman"/>
          <w:color w:val="000000"/>
          <w:sz w:val="24"/>
          <w:szCs w:val="24"/>
        </w:rPr>
        <w:t>ó</w:t>
      </w:r>
      <w:r>
        <w:rPr>
          <w:rFonts w:ascii="Times New Roman" w:eastAsia="Times New Roman" w:hAnsi="Times New Roman"/>
          <w:color w:val="000000"/>
          <w:sz w:val="24"/>
          <w:szCs w:val="24"/>
        </w:rPr>
        <w:t>ban számított összegét, teljes egészében</w:t>
      </w:r>
      <w:r w:rsidR="00AB1184">
        <w:rPr>
          <w:rFonts w:ascii="Times New Roman" w:eastAsia="Times New Roman" w:hAnsi="Times New Roman"/>
          <w:color w:val="000000"/>
          <w:sz w:val="24"/>
          <w:szCs w:val="24"/>
        </w:rPr>
        <w:t xml:space="preserve"> dinárban és kamatmentesen köteles visszafizetni</w:t>
      </w:r>
      <w:r w:rsidR="00BA0402">
        <w:rPr>
          <w:rFonts w:ascii="Times New Roman" w:eastAsia="Times New Roman" w:hAnsi="Times New Roman"/>
          <w:color w:val="000000"/>
          <w:sz w:val="24"/>
          <w:szCs w:val="24"/>
        </w:rPr>
        <w:t xml:space="preserve"> két éven belül</w:t>
      </w:r>
      <w:r w:rsidR="00AB1184">
        <w:rPr>
          <w:rFonts w:ascii="Times New Roman" w:eastAsia="Times New Roman" w:hAnsi="Times New Roman"/>
          <w:color w:val="000000"/>
          <w:sz w:val="24"/>
          <w:szCs w:val="24"/>
        </w:rPr>
        <w:t xml:space="preserve"> az MNT-nek az a hallgató</w:t>
      </w:r>
      <w:r w:rsidR="003B0CB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AB1184">
        <w:rPr>
          <w:rFonts w:ascii="Times New Roman" w:eastAsia="Times New Roman" w:hAnsi="Times New Roman"/>
          <w:color w:val="000000"/>
          <w:sz w:val="24"/>
          <w:szCs w:val="24"/>
        </w:rPr>
        <w:t xml:space="preserve"> aki az oklevél megszerzésére előírt általános határidők letelte után egy évvel nem szerzi meg az MSc illetve PhD fokozatot - oklevelet.</w:t>
      </w:r>
    </w:p>
    <w:p w:rsidR="00AB1184" w:rsidRDefault="00AB1184" w:rsidP="00AB1184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Az a hallgató</w:t>
      </w:r>
      <w:r w:rsidR="003B0CB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aki az előző bekezdésben meghatározott határidőben megszerzi az MSc illetve PhD fokozatot a felvett ösztöndíj </w:t>
      </w:r>
      <w:r w:rsidR="00E72D34">
        <w:rPr>
          <w:rFonts w:ascii="Times New Roman" w:eastAsia="Times New Roman" w:hAnsi="Times New Roman"/>
          <w:color w:val="000000"/>
          <w:sz w:val="24"/>
          <w:szCs w:val="24"/>
        </w:rPr>
        <w:t>eur</w:t>
      </w:r>
      <w:r w:rsidR="00A659ED">
        <w:rPr>
          <w:rFonts w:ascii="Times New Roman" w:eastAsia="Times New Roman" w:hAnsi="Times New Roman"/>
          <w:color w:val="000000"/>
          <w:sz w:val="24"/>
          <w:szCs w:val="24"/>
        </w:rPr>
        <w:t>ó</w:t>
      </w:r>
      <w:r w:rsidR="00E72D34">
        <w:rPr>
          <w:rFonts w:ascii="Times New Roman" w:eastAsia="Times New Roman" w:hAnsi="Times New Roman"/>
          <w:color w:val="000000"/>
          <w:sz w:val="24"/>
          <w:szCs w:val="24"/>
        </w:rPr>
        <w:t xml:space="preserve">ban </w:t>
      </w:r>
      <w:r w:rsidR="00BA0402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E72D34">
        <w:rPr>
          <w:rFonts w:ascii="Times New Roman" w:eastAsia="Times New Roman" w:hAnsi="Times New Roman"/>
          <w:color w:val="000000"/>
          <w:sz w:val="24"/>
          <w:szCs w:val="24"/>
        </w:rPr>
        <w:t xml:space="preserve">iszámított </w:t>
      </w:r>
      <w:r>
        <w:rPr>
          <w:rFonts w:ascii="Times New Roman" w:eastAsia="Times New Roman" w:hAnsi="Times New Roman"/>
          <w:color w:val="000000"/>
          <w:sz w:val="24"/>
          <w:szCs w:val="24"/>
        </w:rPr>
        <w:t>összegének 50%</w:t>
      </w:r>
      <w:r w:rsidR="00DF08F4">
        <w:rPr>
          <w:rFonts w:ascii="Times New Roman" w:eastAsia="Times New Roman" w:hAnsi="Times New Roman"/>
          <w:color w:val="000000"/>
          <w:sz w:val="24"/>
          <w:szCs w:val="24"/>
        </w:rPr>
        <w:t>-át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köteles visszafizetni </w:t>
      </w:r>
      <w:r w:rsidR="00EC5385">
        <w:rPr>
          <w:rFonts w:ascii="Times New Roman" w:eastAsia="Times New Roman" w:hAnsi="Times New Roman"/>
          <w:color w:val="000000"/>
          <w:sz w:val="24"/>
          <w:szCs w:val="24"/>
        </w:rPr>
        <w:t xml:space="preserve">dinárban és kamatmentesen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az MNT-nek, a fokozat - oklevél megszerzésétől számított két éven belül. </w:t>
      </w:r>
    </w:p>
    <w:p w:rsidR="00AB1184" w:rsidRDefault="00AB1184" w:rsidP="00AB1184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Az a hallgató aki az első bekezdésben meghatározott határidőben megszerzi az MSc illetve PhD fokozatot, és évfolyamának első 10%-ba tartozik a tanulmányi átlaga alapján, a felvett</w:t>
      </w:r>
      <w:r w:rsidR="00E72D34">
        <w:rPr>
          <w:rFonts w:ascii="Times New Roman" w:eastAsia="Times New Roman" w:hAnsi="Times New Roman"/>
          <w:color w:val="000000"/>
          <w:sz w:val="24"/>
          <w:szCs w:val="24"/>
        </w:rPr>
        <w:t>, eur</w:t>
      </w:r>
      <w:r w:rsidR="00A659ED">
        <w:rPr>
          <w:rFonts w:ascii="Times New Roman" w:eastAsia="Times New Roman" w:hAnsi="Times New Roman"/>
          <w:color w:val="000000"/>
          <w:sz w:val="24"/>
          <w:szCs w:val="24"/>
        </w:rPr>
        <w:t>ó</w:t>
      </w:r>
      <w:r w:rsidR="00E72D34">
        <w:rPr>
          <w:rFonts w:ascii="Times New Roman" w:eastAsia="Times New Roman" w:hAnsi="Times New Roman"/>
          <w:color w:val="000000"/>
          <w:sz w:val="24"/>
          <w:szCs w:val="24"/>
        </w:rPr>
        <w:t>ban számított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ösztöndíj összegének 20%</w:t>
      </w:r>
      <w:r w:rsidR="00DF08F4">
        <w:rPr>
          <w:rFonts w:ascii="Times New Roman" w:eastAsia="Times New Roman" w:hAnsi="Times New Roman"/>
          <w:color w:val="000000"/>
          <w:sz w:val="24"/>
          <w:szCs w:val="24"/>
        </w:rPr>
        <w:t>-át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köteles visszafizetni</w:t>
      </w:r>
      <w:r w:rsidR="00EC5385">
        <w:rPr>
          <w:rFonts w:ascii="Times New Roman" w:eastAsia="Times New Roman" w:hAnsi="Times New Roman"/>
          <w:color w:val="000000"/>
          <w:sz w:val="24"/>
          <w:szCs w:val="24"/>
        </w:rPr>
        <w:t xml:space="preserve"> dinárban és kamatmentesen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az MNT-nek, a fokozat - oklevél megszerzésétől számított két éven belül. </w:t>
      </w:r>
    </w:p>
    <w:p w:rsidR="00EC5385" w:rsidRDefault="00AB1184" w:rsidP="00AB1184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Az ösztöndíjak visszafizetésének részletes szabályait </w:t>
      </w:r>
      <w:r w:rsidR="00EC5385">
        <w:rPr>
          <w:rFonts w:ascii="Times New Roman" w:eastAsia="Times New Roman" w:hAnsi="Times New Roman"/>
          <w:color w:val="000000"/>
          <w:sz w:val="24"/>
          <w:szCs w:val="24"/>
        </w:rPr>
        <w:t>az ösztöndíjszerződések tartalmazzák.</w:t>
      </w:r>
    </w:p>
    <w:p w:rsidR="00AB1184" w:rsidRPr="0012060E" w:rsidRDefault="00EC5385" w:rsidP="00AB1184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Az MNT-nek visszafizetett ösztöndíjak kizárólag </w:t>
      </w:r>
      <w:r w:rsidRPr="0012060E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12060E" w:rsidRPr="0012060E">
        <w:rPr>
          <w:rFonts w:ascii="Times New Roman" w:hAnsi="Times New Roman"/>
          <w:sz w:val="24"/>
          <w:szCs w:val="24"/>
        </w:rPr>
        <w:t>Várady kiválósági ösztöndíj-hitel</w:t>
      </w:r>
      <w:r w:rsidRPr="0012060E">
        <w:rPr>
          <w:rFonts w:ascii="Times New Roman" w:eastAsia="Times New Roman" w:hAnsi="Times New Roman"/>
          <w:color w:val="000000"/>
          <w:sz w:val="24"/>
          <w:szCs w:val="24"/>
        </w:rPr>
        <w:t xml:space="preserve">  költségvetési alapba kerül</w:t>
      </w:r>
      <w:r w:rsidR="00D01CE2">
        <w:rPr>
          <w:rFonts w:ascii="Times New Roman" w:eastAsia="Times New Roman" w:hAnsi="Times New Roman"/>
          <w:color w:val="000000"/>
          <w:sz w:val="24"/>
          <w:szCs w:val="24"/>
        </w:rPr>
        <w:t>nek</w:t>
      </w:r>
      <w:r w:rsidRPr="0012060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A319A" w:rsidRPr="0012060E" w:rsidRDefault="007A319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A319A" w:rsidRPr="0012060E" w:rsidRDefault="007A319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807194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IX. 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ZÁRÓRENDELKEZÉSEK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A319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</w:t>
      </w:r>
      <w:r w:rsidR="0080719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4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 szakasz</w:t>
      </w:r>
    </w:p>
    <w:p w:rsidR="00794B7A" w:rsidRPr="00952DD6" w:rsidRDefault="00794B7A" w:rsidP="00794B7A">
      <w:pPr>
        <w:pStyle w:val="Default"/>
        <w:rPr>
          <w:b/>
          <w:i/>
          <w:sz w:val="23"/>
          <w:szCs w:val="23"/>
          <w:lang w:val="hu-HU"/>
        </w:rPr>
      </w:pPr>
    </w:p>
    <w:p w:rsidR="00794B7A" w:rsidRPr="00952DD6" w:rsidRDefault="00794B7A" w:rsidP="00794B7A">
      <w:pPr>
        <w:pStyle w:val="Default"/>
        <w:jc w:val="both"/>
        <w:rPr>
          <w:lang w:val="hu-HU"/>
        </w:rPr>
      </w:pPr>
      <w:r w:rsidRPr="00952DD6">
        <w:rPr>
          <w:lang w:val="hu-HU"/>
        </w:rPr>
        <w:t xml:space="preserve">         Amennyiben bizonyítást nyer, hogy a jogo</w:t>
      </w:r>
      <w:r w:rsidR="006748C9">
        <w:rPr>
          <w:lang w:val="hu-HU"/>
        </w:rPr>
        <w:t>sultságot szerzett hallgató a 11</w:t>
      </w:r>
      <w:r w:rsidRPr="00952DD6">
        <w:rPr>
          <w:lang w:val="hu-HU"/>
        </w:rPr>
        <w:t xml:space="preserve">. szakasz alapján nem valós adatokat szolgáltatott, elveszíti a jogosultságát a tanulmányi ösztöndíjra és a Közigazgatási Hivatalnak jogában áll az addig folyósított összeg visszafizetésére kötelezni.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A319A" w:rsidP="00794B7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</w:t>
      </w:r>
      <w:r w:rsidR="0080719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5</w:t>
      </w:r>
      <w:r w:rsidR="00794B7A"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 szakasz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794B7A" w:rsidRPr="00C5373C" w:rsidRDefault="00794B7A" w:rsidP="00794B7A">
      <w:pPr>
        <w:pStyle w:val="Default"/>
        <w:rPr>
          <w:sz w:val="23"/>
          <w:szCs w:val="23"/>
          <w:lang w:val="hu-HU"/>
        </w:rPr>
      </w:pPr>
      <w:r w:rsidRPr="00C5373C">
        <w:rPr>
          <w:sz w:val="23"/>
          <w:szCs w:val="23"/>
          <w:lang w:val="hu-HU"/>
        </w:rPr>
        <w:t xml:space="preserve">        Amennyiben a hallgató jogosultságot szerez a tanulmányi ösztöndíjra, a folyósítást illetően köteles a szerződésben meghatározott, felhatalmazott bank szolgáltatásait igénybe venni. 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9564A0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1</w:t>
      </w:r>
      <w:r w:rsidR="0080719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6</w:t>
      </w:r>
      <w:r w:rsidRPr="00C5373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. szakasz</w:t>
      </w: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04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Pr="00C5373C" w:rsidRDefault="00794B7A" w:rsidP="00794B7A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5373C">
        <w:rPr>
          <w:rFonts w:ascii="Times New Roman" w:hAnsi="Times New Roman"/>
          <w:color w:val="000000"/>
          <w:sz w:val="24"/>
          <w:szCs w:val="24"/>
        </w:rPr>
        <w:tab/>
        <w:t>Jelen határozat az elfogadásának napján lép hatályba.</w:t>
      </w:r>
    </w:p>
    <w:p w:rsidR="00794B7A" w:rsidRDefault="00794B7A" w:rsidP="00794B7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C5373C">
        <w:rPr>
          <w:rFonts w:ascii="Times New Roman" w:eastAsia="Times New Roman" w:hAnsi="Times New Roman"/>
          <w:color w:val="000000"/>
          <w:sz w:val="24"/>
          <w:szCs w:val="24"/>
        </w:rPr>
        <w:tab/>
        <w:t>Jelen határozat a Tanács hivatalos honlapján kerül közzétételre.</w:t>
      </w:r>
    </w:p>
    <w:p w:rsidR="00794B7A" w:rsidRPr="00C5373C" w:rsidRDefault="00794B7A" w:rsidP="00794B7A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94B7A" w:rsidRDefault="00794B7A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94B7A" w:rsidRDefault="00794B7A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CC757C" w:rsidRDefault="00CC757C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94B7A" w:rsidRDefault="00794B7A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25446" w:rsidRDefault="00725446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25446" w:rsidRDefault="00725446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64A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</w:t>
      </w:r>
    </w:p>
    <w:p w:rsidR="00131F46" w:rsidRPr="009564A0" w:rsidRDefault="00131F46" w:rsidP="00131F46">
      <w:pPr>
        <w:widowControl w:val="0"/>
        <w:tabs>
          <w:tab w:val="left" w:pos="9000"/>
        </w:tabs>
        <w:spacing w:before="100" w:beforeAutospacing="1" w:after="100" w:afterAutospacing="1" w:line="240" w:lineRule="auto"/>
        <w:ind w:right="74"/>
        <w:jc w:val="both"/>
        <w:rPr>
          <w:rFonts w:ascii="Times New Roman" w:eastAsia="Arial Unicode MS" w:hAnsi="Times New Roman"/>
          <w:color w:val="000000" w:themeColor="text1"/>
          <w:sz w:val="24"/>
          <w:szCs w:val="24"/>
        </w:rPr>
      </w:pPr>
      <w:r w:rsidRPr="00D860F2">
        <w:rPr>
          <w:rFonts w:ascii="Times New Roman" w:hAnsi="Times New Roman"/>
          <w:color w:val="000000" w:themeColor="text1"/>
          <w:sz w:val="24"/>
          <w:szCs w:val="24"/>
        </w:rPr>
        <w:t xml:space="preserve">        A Magyar Nemzeti Tanács Várady kiválósági ösztöndíj-hitel pályázati felhívásáról, a pályázat lebonyolításáról és a kérelmek elbírálásáról szóló határozatának módosításáról szóló határozatának </w:t>
      </w:r>
      <w:r w:rsidRPr="009564A0">
        <w:rPr>
          <w:rFonts w:ascii="Times New Roman" w:eastAsia="Arial Unicode MS" w:hAnsi="Times New Roman"/>
          <w:color w:val="000000" w:themeColor="text1"/>
          <w:sz w:val="24"/>
          <w:szCs w:val="24"/>
        </w:rPr>
        <w:t>(</w:t>
      </w:r>
      <w:r w:rsidRPr="009564A0">
        <w:rPr>
          <w:rFonts w:ascii="Times New Roman" w:hAnsi="Times New Roman"/>
          <w:color w:val="000000" w:themeColor="text1"/>
          <w:sz w:val="24"/>
          <w:szCs w:val="24"/>
        </w:rPr>
        <w:t xml:space="preserve">elfogadva 2013. </w:t>
      </w:r>
      <w:r w:rsidRPr="00D860F2">
        <w:rPr>
          <w:rFonts w:ascii="Times New Roman" w:hAnsi="Times New Roman"/>
          <w:color w:val="000000" w:themeColor="text1"/>
          <w:sz w:val="24"/>
          <w:szCs w:val="24"/>
        </w:rPr>
        <w:t xml:space="preserve">szeptember 11-én </w:t>
      </w:r>
      <w:r w:rsidRPr="009564A0">
        <w:rPr>
          <w:rFonts w:ascii="Times New Roman" w:hAnsi="Times New Roman"/>
          <w:color w:val="000000" w:themeColor="text1"/>
          <w:sz w:val="24"/>
          <w:szCs w:val="24"/>
        </w:rPr>
        <w:t>H/</w:t>
      </w:r>
      <w:r w:rsidRPr="00D860F2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9564A0">
        <w:rPr>
          <w:rFonts w:ascii="Times New Roman" w:hAnsi="Times New Roman"/>
          <w:color w:val="000000" w:themeColor="text1"/>
          <w:sz w:val="24"/>
          <w:szCs w:val="24"/>
        </w:rPr>
        <w:t>/2013 iratszám</w:t>
      </w:r>
      <w:r w:rsidRPr="009564A0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alatt)  </w:t>
      </w:r>
      <w:r w:rsidRPr="009564A0">
        <w:rPr>
          <w:rFonts w:ascii="Times New Roman" w:eastAsia="Arial Unicode MS" w:hAnsi="Times New Roman"/>
          <w:b/>
          <w:i/>
          <w:color w:val="000000" w:themeColor="text1"/>
          <w:sz w:val="24"/>
          <w:szCs w:val="24"/>
        </w:rPr>
        <w:t>különálló szakaszai:</w:t>
      </w:r>
      <w:r w:rsidRPr="009564A0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</w:p>
    <w:p w:rsidR="00131F46" w:rsidRDefault="00131F46" w:rsidP="00131F46">
      <w:pPr>
        <w:spacing w:after="0" w:line="240" w:lineRule="auto"/>
        <w:jc w:val="both"/>
        <w:rPr>
          <w:rFonts w:ascii="Times New Roman" w:hAnsi="Times New Roman"/>
          <w:color w:val="4F6228" w:themeColor="accent3" w:themeShade="80"/>
          <w:sz w:val="24"/>
          <w:szCs w:val="24"/>
        </w:rPr>
      </w:pPr>
    </w:p>
    <w:p w:rsidR="009564A0" w:rsidRPr="00D860F2" w:rsidRDefault="009564A0" w:rsidP="00D860F2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60F2">
        <w:rPr>
          <w:rFonts w:ascii="Times New Roman" w:hAnsi="Times New Roman"/>
          <w:b/>
          <w:i/>
          <w:color w:val="000000"/>
          <w:sz w:val="24"/>
          <w:szCs w:val="24"/>
        </w:rPr>
        <w:t>szakasz</w:t>
      </w:r>
    </w:p>
    <w:p w:rsidR="00D860F2" w:rsidRDefault="00D860F2" w:rsidP="00D860F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860F2" w:rsidRPr="00266914" w:rsidRDefault="00D860F2" w:rsidP="00D860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6914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266914">
        <w:rPr>
          <w:rFonts w:ascii="Times New Roman" w:hAnsi="Times New Roman"/>
          <w:color w:val="000000"/>
          <w:sz w:val="24"/>
          <w:szCs w:val="24"/>
        </w:rPr>
        <w:t xml:space="preserve">Ezen határozattal </w:t>
      </w:r>
      <w:r>
        <w:rPr>
          <w:rFonts w:ascii="Times New Roman" w:hAnsi="Times New Roman"/>
          <w:color w:val="000000"/>
          <w:sz w:val="24"/>
          <w:szCs w:val="24"/>
        </w:rPr>
        <w:t xml:space="preserve">módosításra kerül a Magyar Nemzeti Tanács Várady kiválósági ösztöndíj-hitel pályázati felhívásáról, a pályázat lebonyolításáról és a kérelmek elbírálásáról szóló határozata (elfogadva 2013. július 1-én H/8/2013 iratszám alatt). </w:t>
      </w:r>
    </w:p>
    <w:p w:rsidR="00D860F2" w:rsidRPr="00D860F2" w:rsidRDefault="00D860F2" w:rsidP="00D860F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9564A0" w:rsidRDefault="009564A0" w:rsidP="009564A0">
      <w:pPr>
        <w:spacing w:after="0" w:line="240" w:lineRule="auto"/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D860F2" w:rsidRDefault="009564A0" w:rsidP="00D860F2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60F2">
        <w:rPr>
          <w:rFonts w:ascii="Times New Roman" w:hAnsi="Times New Roman"/>
          <w:b/>
          <w:i/>
          <w:color w:val="000000"/>
          <w:sz w:val="24"/>
          <w:szCs w:val="24"/>
        </w:rPr>
        <w:t xml:space="preserve">szakasz </w:t>
      </w:r>
    </w:p>
    <w:p w:rsidR="009564A0" w:rsidRPr="009564A0" w:rsidRDefault="009564A0" w:rsidP="009564A0">
      <w:pPr>
        <w:spacing w:after="0" w:line="240" w:lineRule="auto"/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9564A0" w:rsidRDefault="009564A0" w:rsidP="009564A0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9564A0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</w:t>
      </w:r>
      <w:r w:rsidRPr="009564A0">
        <w:rPr>
          <w:rFonts w:ascii="Times New Roman" w:hAnsi="Times New Roman"/>
          <w:color w:val="000000"/>
          <w:sz w:val="24"/>
          <w:szCs w:val="24"/>
        </w:rPr>
        <w:t>A határozat további rendelkezései hatályban maradnak</w:t>
      </w:r>
    </w:p>
    <w:p w:rsidR="009564A0" w:rsidRPr="009564A0" w:rsidRDefault="009564A0" w:rsidP="009564A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64A0" w:rsidRPr="00D860F2" w:rsidRDefault="009564A0" w:rsidP="00D860F2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60F2">
        <w:rPr>
          <w:rFonts w:ascii="Times New Roman" w:hAnsi="Times New Roman"/>
          <w:b/>
          <w:i/>
          <w:color w:val="000000"/>
          <w:sz w:val="24"/>
          <w:szCs w:val="24"/>
        </w:rPr>
        <w:t xml:space="preserve"> szakasz </w:t>
      </w:r>
    </w:p>
    <w:p w:rsidR="009564A0" w:rsidRPr="009564A0" w:rsidRDefault="009564A0" w:rsidP="009564A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64A0">
        <w:rPr>
          <w:rFonts w:ascii="Times New Roman" w:hAnsi="Times New Roman"/>
          <w:color w:val="000000"/>
          <w:sz w:val="24"/>
          <w:szCs w:val="24"/>
        </w:rPr>
        <w:t xml:space="preserve">            Jelen határozat az elfogadásának napján lép hatályba.</w:t>
      </w:r>
    </w:p>
    <w:p w:rsidR="009564A0" w:rsidRPr="009564A0" w:rsidRDefault="009564A0" w:rsidP="009564A0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564A0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Jelen határozat a Tanács hivatalos honlapján kerül közzétételre.</w:t>
      </w:r>
    </w:p>
    <w:p w:rsidR="009564A0" w:rsidRPr="009564A0" w:rsidRDefault="009564A0" w:rsidP="009564A0">
      <w:pPr>
        <w:tabs>
          <w:tab w:val="center" w:pos="2127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center" w:pos="2127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center" w:pos="2127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564A0">
        <w:rPr>
          <w:rFonts w:ascii="Times New Roman" w:eastAsia="Arial Unicode MS" w:hAnsi="Times New Roman"/>
          <w:color w:val="000000"/>
          <w:sz w:val="24"/>
          <w:szCs w:val="24"/>
        </w:rPr>
        <w:t xml:space="preserve">         </w:t>
      </w:r>
    </w:p>
    <w:p w:rsidR="009564A0" w:rsidRPr="009564A0" w:rsidRDefault="009564A0" w:rsidP="009564A0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564A0">
        <w:rPr>
          <w:rFonts w:ascii="Times New Roman" w:eastAsia="Arial Unicode MS" w:hAnsi="Times New Roman"/>
          <w:color w:val="000000"/>
          <w:sz w:val="24"/>
          <w:szCs w:val="24"/>
        </w:rPr>
        <w:t xml:space="preserve">     Dr. Korhecz Tamás</w:t>
      </w:r>
      <w:r w:rsidRPr="009564A0">
        <w:rPr>
          <w:rFonts w:ascii="Times New Roman" w:eastAsia="Arial Unicode MS" w:hAnsi="Times New Roman"/>
          <w:color w:val="000000"/>
          <w:sz w:val="24"/>
          <w:szCs w:val="24"/>
        </w:rPr>
        <w:tab/>
        <w:t>Várkonyi Zsolt</w:t>
      </w:r>
    </w:p>
    <w:p w:rsidR="009564A0" w:rsidRPr="009564A0" w:rsidRDefault="009564A0" w:rsidP="009564A0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left" w:pos="630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564A0"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elnök s.k.</w:t>
      </w:r>
      <w:r w:rsidRPr="009564A0">
        <w:rPr>
          <w:rFonts w:ascii="Times New Roman" w:eastAsia="Arial Unicode MS" w:hAnsi="Times New Roman"/>
          <w:color w:val="000000"/>
          <w:sz w:val="24"/>
          <w:szCs w:val="24"/>
        </w:rPr>
        <w:tab/>
        <w:t xml:space="preserve">   jegyző s.k.</w:t>
      </w:r>
    </w:p>
    <w:p w:rsidR="009564A0" w:rsidRPr="009564A0" w:rsidRDefault="009564A0" w:rsidP="009564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564A0" w:rsidRPr="009564A0" w:rsidRDefault="009564A0" w:rsidP="009564A0">
      <w:pPr>
        <w:tabs>
          <w:tab w:val="center" w:pos="2127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564A0" w:rsidRDefault="009564A0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9564A0" w:rsidRDefault="009564A0" w:rsidP="00794B7A">
      <w:pPr>
        <w:tabs>
          <w:tab w:val="left" w:pos="6120"/>
        </w:tabs>
        <w:spacing w:after="0" w:line="240" w:lineRule="auto"/>
        <w:ind w:right="72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0CB4" w:rsidRPr="00176BEA" w:rsidRDefault="003B0CB4" w:rsidP="00794B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94B7A" w:rsidRDefault="00794B7A" w:rsidP="00794B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B7A" w:rsidRDefault="00794B7A" w:rsidP="00794B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94B7A" w:rsidRDefault="00794B7A" w:rsidP="00794B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E3B93" w:rsidRPr="00DE3B93" w:rsidRDefault="00DE3B93" w:rsidP="00DE3B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3B93" w:rsidRPr="00DE3B93" w:rsidRDefault="00DE3B93" w:rsidP="00DE3B93"/>
    <w:p w:rsidR="00DE3B93" w:rsidRPr="00DE3B93" w:rsidRDefault="00DE3B93" w:rsidP="00DE3B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2C5C" w:rsidRPr="00DE3B93" w:rsidRDefault="00462C5C"/>
    <w:sectPr w:rsidR="00462C5C" w:rsidRPr="00DE3B93" w:rsidSect="000F6B7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DAB"/>
    <w:multiLevelType w:val="hybridMultilevel"/>
    <w:tmpl w:val="B6600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E21"/>
    <w:multiLevelType w:val="hybridMultilevel"/>
    <w:tmpl w:val="4AAAB9C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A3E15"/>
    <w:multiLevelType w:val="hybridMultilevel"/>
    <w:tmpl w:val="36B62C36"/>
    <w:lvl w:ilvl="0" w:tplc="6C50BC1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5152C7"/>
    <w:multiLevelType w:val="hybridMultilevel"/>
    <w:tmpl w:val="8C0AC45C"/>
    <w:lvl w:ilvl="0" w:tplc="34F03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F4276"/>
    <w:multiLevelType w:val="hybridMultilevel"/>
    <w:tmpl w:val="CAF4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247AD"/>
    <w:multiLevelType w:val="hybridMultilevel"/>
    <w:tmpl w:val="B9C65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73D63"/>
    <w:multiLevelType w:val="hybridMultilevel"/>
    <w:tmpl w:val="2DB4B97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B3553"/>
    <w:multiLevelType w:val="hybridMultilevel"/>
    <w:tmpl w:val="2A26727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B14BB"/>
    <w:multiLevelType w:val="hybridMultilevel"/>
    <w:tmpl w:val="5B3EC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E5874"/>
    <w:multiLevelType w:val="hybridMultilevel"/>
    <w:tmpl w:val="8B94297C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7A"/>
    <w:rsid w:val="00044946"/>
    <w:rsid w:val="0012060E"/>
    <w:rsid w:val="00123962"/>
    <w:rsid w:val="0012416E"/>
    <w:rsid w:val="0013064B"/>
    <w:rsid w:val="00131F46"/>
    <w:rsid w:val="00150A96"/>
    <w:rsid w:val="00154AE1"/>
    <w:rsid w:val="00237B23"/>
    <w:rsid w:val="002921FD"/>
    <w:rsid w:val="002A5428"/>
    <w:rsid w:val="00351E92"/>
    <w:rsid w:val="003600EC"/>
    <w:rsid w:val="0036555A"/>
    <w:rsid w:val="00385B47"/>
    <w:rsid w:val="003B0CB4"/>
    <w:rsid w:val="003B2443"/>
    <w:rsid w:val="003D3F47"/>
    <w:rsid w:val="00462C5C"/>
    <w:rsid w:val="00485937"/>
    <w:rsid w:val="00507E3D"/>
    <w:rsid w:val="00516D77"/>
    <w:rsid w:val="00556266"/>
    <w:rsid w:val="0056157B"/>
    <w:rsid w:val="00586FA8"/>
    <w:rsid w:val="00601371"/>
    <w:rsid w:val="00605243"/>
    <w:rsid w:val="00620236"/>
    <w:rsid w:val="006748C9"/>
    <w:rsid w:val="0068528A"/>
    <w:rsid w:val="006B14E0"/>
    <w:rsid w:val="006E6394"/>
    <w:rsid w:val="007168BE"/>
    <w:rsid w:val="00725446"/>
    <w:rsid w:val="0077038A"/>
    <w:rsid w:val="00771318"/>
    <w:rsid w:val="00794B7A"/>
    <w:rsid w:val="007A319A"/>
    <w:rsid w:val="007B0D52"/>
    <w:rsid w:val="007C4D9B"/>
    <w:rsid w:val="00807194"/>
    <w:rsid w:val="00830067"/>
    <w:rsid w:val="00843CB8"/>
    <w:rsid w:val="00876AAC"/>
    <w:rsid w:val="00892B32"/>
    <w:rsid w:val="008D1440"/>
    <w:rsid w:val="009564A0"/>
    <w:rsid w:val="0098470A"/>
    <w:rsid w:val="00A13B15"/>
    <w:rsid w:val="00A20F8C"/>
    <w:rsid w:val="00A35BA6"/>
    <w:rsid w:val="00A659ED"/>
    <w:rsid w:val="00AA3D9D"/>
    <w:rsid w:val="00AB1184"/>
    <w:rsid w:val="00AC7B25"/>
    <w:rsid w:val="00B36AC0"/>
    <w:rsid w:val="00B57326"/>
    <w:rsid w:val="00B94F14"/>
    <w:rsid w:val="00BA0402"/>
    <w:rsid w:val="00BD205E"/>
    <w:rsid w:val="00BD423F"/>
    <w:rsid w:val="00C047F2"/>
    <w:rsid w:val="00C7592B"/>
    <w:rsid w:val="00CA0275"/>
    <w:rsid w:val="00CA3948"/>
    <w:rsid w:val="00CC757C"/>
    <w:rsid w:val="00D00BEF"/>
    <w:rsid w:val="00D01CE2"/>
    <w:rsid w:val="00D055D7"/>
    <w:rsid w:val="00D16103"/>
    <w:rsid w:val="00D629C9"/>
    <w:rsid w:val="00D860F2"/>
    <w:rsid w:val="00DC707B"/>
    <w:rsid w:val="00DE3B93"/>
    <w:rsid w:val="00DF08F4"/>
    <w:rsid w:val="00E72D34"/>
    <w:rsid w:val="00EB58CC"/>
    <w:rsid w:val="00EC3BFE"/>
    <w:rsid w:val="00EC5385"/>
    <w:rsid w:val="00ED0744"/>
    <w:rsid w:val="00ED630D"/>
    <w:rsid w:val="00F80958"/>
    <w:rsid w:val="00FD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4B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0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4B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20F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FC39-98AE-4C3D-BC3A-1D00FA4C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1672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Viola</cp:lastModifiedBy>
  <cp:revision>2</cp:revision>
  <dcterms:created xsi:type="dcterms:W3CDTF">2014-09-01T04:37:00Z</dcterms:created>
  <dcterms:modified xsi:type="dcterms:W3CDTF">2014-09-01T04:37:00Z</dcterms:modified>
</cp:coreProperties>
</file>